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23D9" w:rsidRDefault="004D23D9">
      <w:pPr>
        <w:pStyle w:val="Heading3"/>
        <w:spacing w:after="120"/>
        <w:rPr>
          <w:b/>
          <w:sz w:val="36"/>
        </w:rPr>
      </w:pPr>
      <w:r>
        <w:rPr>
          <w:b/>
          <w:sz w:val="36"/>
        </w:rPr>
        <w:t>TECHNICAL EVALUATION</w:t>
      </w:r>
    </w:p>
    <w:p w:rsidR="004D23D9" w:rsidRDefault="004D23D9">
      <w:pPr>
        <w:spacing w:after="120"/>
        <w:jc w:val="center"/>
        <w:rPr>
          <w:b/>
          <w:sz w:val="36"/>
        </w:rPr>
      </w:pPr>
      <w:r>
        <w:rPr>
          <w:b/>
          <w:sz w:val="36"/>
        </w:rPr>
        <w:t>AND</w:t>
      </w:r>
    </w:p>
    <w:p w:rsidR="004D23D9" w:rsidRDefault="004D23D9">
      <w:pPr>
        <w:spacing w:after="120"/>
        <w:jc w:val="center"/>
        <w:rPr>
          <w:b/>
          <w:sz w:val="36"/>
        </w:rPr>
      </w:pPr>
      <w:r>
        <w:rPr>
          <w:b/>
          <w:sz w:val="36"/>
        </w:rPr>
        <w:t>PRELIMINARY DETERMINATION</w:t>
      </w:r>
    </w:p>
    <w:p w:rsidR="004D23D9" w:rsidRDefault="004D23D9">
      <w:pPr>
        <w:spacing w:after="120"/>
        <w:jc w:val="center"/>
        <w:rPr>
          <w:b/>
          <w:sz w:val="32"/>
        </w:rPr>
      </w:pPr>
    </w:p>
    <w:p w:rsidR="004D23D9" w:rsidRDefault="004D23D9">
      <w:pPr>
        <w:spacing w:after="120"/>
        <w:jc w:val="center"/>
        <w:rPr>
          <w:b/>
          <w:sz w:val="32"/>
        </w:rPr>
      </w:pPr>
    </w:p>
    <w:p w:rsidR="004D23D9" w:rsidRDefault="00EA0833">
      <w:pPr>
        <w:spacing w:after="120"/>
        <w:jc w:val="center"/>
        <w:rPr>
          <w:sz w:val="32"/>
          <w:szCs w:val="32"/>
        </w:rPr>
      </w:pPr>
      <w:r>
        <w:rPr>
          <w:sz w:val="32"/>
          <w:szCs w:val="32"/>
        </w:rPr>
        <w:t xml:space="preserve">Walt Disney </w:t>
      </w:r>
      <w:r w:rsidR="00102FBE">
        <w:rPr>
          <w:sz w:val="32"/>
          <w:szCs w:val="32"/>
        </w:rPr>
        <w:t>Parks</w:t>
      </w:r>
      <w:r w:rsidR="00102FBE" w:rsidRPr="00102FBE">
        <w:rPr>
          <w:sz w:val="32"/>
          <w:szCs w:val="32"/>
        </w:rPr>
        <w:t xml:space="preserve"> </w:t>
      </w:r>
      <w:r>
        <w:rPr>
          <w:sz w:val="32"/>
          <w:szCs w:val="32"/>
        </w:rPr>
        <w:t xml:space="preserve">and </w:t>
      </w:r>
      <w:r w:rsidR="00102FBE">
        <w:rPr>
          <w:sz w:val="32"/>
          <w:szCs w:val="32"/>
        </w:rPr>
        <w:t>Resorts U.S.</w:t>
      </w:r>
      <w:r>
        <w:rPr>
          <w:sz w:val="32"/>
          <w:szCs w:val="32"/>
        </w:rPr>
        <w:t>, Inc.</w:t>
      </w:r>
    </w:p>
    <w:p w:rsidR="004D23D9" w:rsidRDefault="00EA0833">
      <w:pPr>
        <w:spacing w:after="120"/>
        <w:jc w:val="center"/>
        <w:rPr>
          <w:sz w:val="32"/>
          <w:szCs w:val="32"/>
        </w:rPr>
      </w:pPr>
      <w:r>
        <w:rPr>
          <w:sz w:val="32"/>
          <w:szCs w:val="32"/>
        </w:rPr>
        <w:t>Walt Disney World</w:t>
      </w:r>
      <w:r w:rsidR="00102FBE">
        <w:rPr>
          <w:sz w:val="32"/>
          <w:szCs w:val="32"/>
        </w:rPr>
        <w:t xml:space="preserve"> Resort</w:t>
      </w:r>
      <w:r w:rsidR="004D23D9">
        <w:rPr>
          <w:sz w:val="32"/>
          <w:szCs w:val="32"/>
        </w:rPr>
        <w:t xml:space="preserve"> Complex</w:t>
      </w:r>
    </w:p>
    <w:p w:rsidR="00EA0833" w:rsidRDefault="00EA0833">
      <w:pPr>
        <w:spacing w:after="120"/>
        <w:jc w:val="center"/>
        <w:rPr>
          <w:sz w:val="32"/>
          <w:szCs w:val="32"/>
        </w:rPr>
      </w:pPr>
      <w:r>
        <w:rPr>
          <w:sz w:val="32"/>
          <w:szCs w:val="32"/>
        </w:rPr>
        <w:t>EPCOT Generator #1 and #2 Minor Permit Revisions</w:t>
      </w:r>
    </w:p>
    <w:p w:rsidR="004D23D9" w:rsidRDefault="00867577">
      <w:pPr>
        <w:spacing w:after="120"/>
        <w:jc w:val="center"/>
        <w:rPr>
          <w:sz w:val="32"/>
          <w:szCs w:val="32"/>
        </w:rPr>
      </w:pPr>
      <w:r>
        <w:rPr>
          <w:sz w:val="32"/>
          <w:szCs w:val="32"/>
        </w:rPr>
        <w:t>Construction Permits:</w:t>
      </w:r>
    </w:p>
    <w:p w:rsidR="00867577" w:rsidRDefault="00867577">
      <w:pPr>
        <w:spacing w:after="120"/>
        <w:jc w:val="center"/>
        <w:rPr>
          <w:sz w:val="32"/>
          <w:szCs w:val="32"/>
        </w:rPr>
      </w:pPr>
      <w:r>
        <w:rPr>
          <w:sz w:val="32"/>
          <w:szCs w:val="32"/>
        </w:rPr>
        <w:t>AC48-105243 and AC48-106650</w:t>
      </w:r>
    </w:p>
    <w:p w:rsidR="004D23D9" w:rsidRDefault="004D23D9">
      <w:pPr>
        <w:spacing w:after="120"/>
        <w:jc w:val="center"/>
        <w:rPr>
          <w:sz w:val="32"/>
        </w:rPr>
      </w:pPr>
      <w:smartTag w:uri="urn:schemas-microsoft-com:office:smarttags" w:element="City">
        <w:r>
          <w:rPr>
            <w:sz w:val="32"/>
          </w:rPr>
          <w:t>Orange</w:t>
        </w:r>
      </w:smartTag>
      <w:r>
        <w:rPr>
          <w:sz w:val="32"/>
        </w:rPr>
        <w:t xml:space="preserve"> and </w:t>
      </w:r>
      <w:smartTag w:uri="urn:schemas-microsoft-com:office:smarttags" w:element="place">
        <w:smartTag w:uri="urn:schemas-microsoft-com:office:smarttags" w:element="PlaceName">
          <w:r>
            <w:rPr>
              <w:sz w:val="32"/>
            </w:rPr>
            <w:t>Osceola</w:t>
          </w:r>
        </w:smartTag>
        <w:r>
          <w:rPr>
            <w:sz w:val="32"/>
          </w:rPr>
          <w:t xml:space="preserve"> </w:t>
        </w:r>
        <w:smartTag w:uri="urn:schemas-microsoft-com:office:smarttags" w:element="PlaceType">
          <w:r>
            <w:rPr>
              <w:sz w:val="32"/>
            </w:rPr>
            <w:t>Counties</w:t>
          </w:r>
        </w:smartTag>
      </w:smartTag>
    </w:p>
    <w:p w:rsidR="004D23D9" w:rsidRDefault="004D23D9">
      <w:pPr>
        <w:spacing w:after="120"/>
        <w:jc w:val="center"/>
        <w:rPr>
          <w:sz w:val="32"/>
          <w:u w:val="single"/>
        </w:rPr>
      </w:pPr>
    </w:p>
    <w:p w:rsidR="004D23D9" w:rsidRDefault="00E11979">
      <w:pPr>
        <w:pStyle w:val="Heading1"/>
        <w:ind w:left="0"/>
        <w:jc w:val="center"/>
        <w:rPr>
          <w:sz w:val="32"/>
          <w:szCs w:val="32"/>
        </w:rPr>
      </w:pPr>
      <w:r>
        <w:rPr>
          <w:sz w:val="32"/>
          <w:szCs w:val="32"/>
        </w:rPr>
        <w:t>DEP File No. 0950111-033</w:t>
      </w:r>
      <w:r w:rsidR="004D23D9">
        <w:rPr>
          <w:sz w:val="32"/>
          <w:szCs w:val="32"/>
        </w:rPr>
        <w:t>-AC</w:t>
      </w:r>
    </w:p>
    <w:p w:rsidR="004D23D9" w:rsidRPr="00B273FB" w:rsidRDefault="004D23D9">
      <w:pPr>
        <w:spacing w:after="120"/>
        <w:jc w:val="center"/>
        <w:rPr>
          <w:sz w:val="32"/>
          <w:u w:val="single"/>
        </w:rPr>
      </w:pPr>
    </w:p>
    <w:p w:rsidR="004D23D9" w:rsidRPr="00B273FB" w:rsidRDefault="004D23D9">
      <w:pPr>
        <w:spacing w:after="120"/>
        <w:jc w:val="center"/>
        <w:rPr>
          <w:sz w:val="32"/>
          <w:u w:val="single"/>
        </w:rPr>
      </w:pPr>
    </w:p>
    <w:p w:rsidR="004D23D9" w:rsidRDefault="00D71DB9">
      <w:pPr>
        <w:jc w:val="center"/>
        <w:rPr>
          <w:sz w:val="32"/>
        </w:rPr>
      </w:pPr>
      <w:r>
        <w:rPr>
          <w:noProof/>
          <w:sz w:val="32"/>
        </w:rPr>
        <w:drawing>
          <wp:inline distT="0" distB="0" distL="0" distR="0">
            <wp:extent cx="1981200" cy="1304925"/>
            <wp:effectExtent l="1905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7" cstate="print"/>
                    <a:srcRect/>
                    <a:stretch>
                      <a:fillRect/>
                    </a:stretch>
                  </pic:blipFill>
                  <pic:spPr bwMode="auto">
                    <a:xfrm>
                      <a:off x="0" y="0"/>
                      <a:ext cx="1981200" cy="1304925"/>
                    </a:xfrm>
                    <a:prstGeom prst="rect">
                      <a:avLst/>
                    </a:prstGeom>
                    <a:noFill/>
                    <a:ln w="9525">
                      <a:noFill/>
                      <a:miter lim="800000"/>
                      <a:headEnd/>
                      <a:tailEnd/>
                    </a:ln>
                  </pic:spPr>
                </pic:pic>
              </a:graphicData>
            </a:graphic>
          </wp:inline>
        </w:drawing>
      </w:r>
    </w:p>
    <w:p w:rsidR="004D23D9" w:rsidRDefault="004D23D9">
      <w:pPr>
        <w:jc w:val="center"/>
        <w:rPr>
          <w:sz w:val="32"/>
        </w:rPr>
      </w:pPr>
    </w:p>
    <w:p w:rsidR="004D23D9" w:rsidRDefault="004D23D9">
      <w:pPr>
        <w:jc w:val="center"/>
        <w:rPr>
          <w:sz w:val="32"/>
        </w:rPr>
      </w:pPr>
      <w:r>
        <w:rPr>
          <w:sz w:val="32"/>
        </w:rPr>
        <w:t>Florida Department of Environmental Protection</w:t>
      </w:r>
    </w:p>
    <w:p w:rsidR="004D23D9" w:rsidRDefault="004D23D9">
      <w:pPr>
        <w:jc w:val="center"/>
        <w:rPr>
          <w:sz w:val="32"/>
        </w:rPr>
      </w:pPr>
      <w:r>
        <w:rPr>
          <w:sz w:val="32"/>
        </w:rPr>
        <w:t>Division of Air Resource Management</w:t>
      </w:r>
    </w:p>
    <w:p w:rsidR="004D23D9" w:rsidRDefault="004D23D9">
      <w:pPr>
        <w:jc w:val="center"/>
        <w:rPr>
          <w:sz w:val="32"/>
        </w:rPr>
      </w:pPr>
      <w:r>
        <w:rPr>
          <w:sz w:val="32"/>
        </w:rPr>
        <w:t>Bureau of Air Regulation</w:t>
      </w:r>
    </w:p>
    <w:p w:rsidR="004D23D9" w:rsidRDefault="004D23D9">
      <w:pPr>
        <w:jc w:val="center"/>
        <w:rPr>
          <w:sz w:val="32"/>
        </w:rPr>
      </w:pPr>
      <w:r>
        <w:rPr>
          <w:sz w:val="32"/>
        </w:rPr>
        <w:t>Permitting South Section</w:t>
      </w:r>
    </w:p>
    <w:p w:rsidR="004D23D9" w:rsidRDefault="004D23D9">
      <w:pPr>
        <w:jc w:val="center"/>
        <w:rPr>
          <w:sz w:val="32"/>
        </w:rPr>
      </w:pPr>
    </w:p>
    <w:p w:rsidR="004D23D9" w:rsidRDefault="00363B00">
      <w:pPr>
        <w:jc w:val="center"/>
        <w:rPr>
          <w:sz w:val="32"/>
        </w:rPr>
      </w:pPr>
      <w:r w:rsidRPr="0047405D">
        <w:rPr>
          <w:sz w:val="32"/>
        </w:rPr>
        <w:t>November 8</w:t>
      </w:r>
      <w:r w:rsidR="004D23D9" w:rsidRPr="0047405D">
        <w:rPr>
          <w:sz w:val="32"/>
        </w:rPr>
        <w:t>, 20</w:t>
      </w:r>
      <w:r w:rsidR="00E11979" w:rsidRPr="0047405D">
        <w:rPr>
          <w:sz w:val="32"/>
        </w:rPr>
        <w:t>12</w:t>
      </w:r>
    </w:p>
    <w:p w:rsidR="004D23D9" w:rsidRPr="00AF5FE2" w:rsidRDefault="004D23D9">
      <w:pPr>
        <w:jc w:val="center"/>
      </w:pPr>
    </w:p>
    <w:p w:rsidR="004D23D9" w:rsidRPr="00AF5FE2" w:rsidRDefault="004D23D9">
      <w:pPr>
        <w:jc w:val="center"/>
      </w:pPr>
    </w:p>
    <w:p w:rsidR="004D23D9" w:rsidRPr="00AF5FE2" w:rsidRDefault="004D23D9">
      <w:pPr>
        <w:jc w:val="center"/>
      </w:pPr>
    </w:p>
    <w:p w:rsidR="004D23D9" w:rsidRPr="00AF5FE2" w:rsidRDefault="004D23D9">
      <w:pPr>
        <w:jc w:val="center"/>
        <w:sectPr w:rsidR="004D23D9" w:rsidRPr="00AF5FE2">
          <w:pgSz w:w="12240" w:h="15840" w:code="1"/>
          <w:pgMar w:top="1440" w:right="1152" w:bottom="1440" w:left="1152" w:header="720" w:footer="720" w:gutter="0"/>
          <w:pgNumType w:start="1"/>
          <w:cols w:space="720"/>
        </w:sectPr>
      </w:pPr>
    </w:p>
    <w:p w:rsidR="004D23D9" w:rsidRDefault="004D23D9">
      <w:pPr>
        <w:spacing w:after="120"/>
        <w:rPr>
          <w:b/>
          <w:caps/>
          <w:sz w:val="22"/>
          <w:szCs w:val="22"/>
        </w:rPr>
      </w:pPr>
      <w:r>
        <w:rPr>
          <w:b/>
          <w:caps/>
          <w:sz w:val="22"/>
          <w:szCs w:val="22"/>
        </w:rPr>
        <w:lastRenderedPageBreak/>
        <w:t>1.  General Project INFORMATION</w:t>
      </w:r>
    </w:p>
    <w:p w:rsidR="004D23D9" w:rsidRDefault="004D23D9">
      <w:pPr>
        <w:pStyle w:val="Heading9"/>
        <w:ind w:left="0"/>
        <w:rPr>
          <w:b/>
          <w:bCs/>
          <w:szCs w:val="22"/>
          <w:u w:val="none"/>
        </w:rPr>
      </w:pPr>
      <w:r>
        <w:rPr>
          <w:b/>
          <w:bCs/>
          <w:szCs w:val="22"/>
          <w:u w:val="none"/>
        </w:rPr>
        <w:t>Applicant Name and Address</w:t>
      </w:r>
    </w:p>
    <w:p w:rsidR="004D23D9" w:rsidRDefault="00DA5E68">
      <w:pPr>
        <w:rPr>
          <w:sz w:val="22"/>
          <w:szCs w:val="22"/>
          <w:highlight w:val="green"/>
        </w:rPr>
      </w:pPr>
      <w:r>
        <w:rPr>
          <w:sz w:val="22"/>
          <w:szCs w:val="22"/>
        </w:rPr>
        <w:t>Walt Disney Parks and Resorts, Inc.</w:t>
      </w:r>
      <w:r w:rsidR="004D23D9">
        <w:rPr>
          <w:sz w:val="22"/>
          <w:szCs w:val="22"/>
          <w:highlight w:val="green"/>
        </w:rPr>
        <w:t xml:space="preserve"> </w:t>
      </w:r>
    </w:p>
    <w:p w:rsidR="004D23D9" w:rsidRDefault="004D23D9">
      <w:pPr>
        <w:rPr>
          <w:bCs/>
          <w:sz w:val="22"/>
          <w:szCs w:val="22"/>
        </w:rPr>
      </w:pPr>
      <w:smartTag w:uri="urn:schemas-microsoft-com:office:smarttags" w:element="address">
        <w:smartTag w:uri="urn:schemas-microsoft-com:office:smarttags" w:element="Street">
          <w:r>
            <w:rPr>
              <w:bCs/>
              <w:sz w:val="22"/>
              <w:szCs w:val="22"/>
            </w:rPr>
            <w:t>P.O. Box</w:t>
          </w:r>
        </w:smartTag>
        <w:r>
          <w:rPr>
            <w:bCs/>
            <w:sz w:val="22"/>
            <w:szCs w:val="22"/>
          </w:rPr>
          <w:t xml:space="preserve"> 10,000</w:t>
        </w:r>
      </w:smartTag>
    </w:p>
    <w:p w:rsidR="004D23D9" w:rsidRDefault="004D23D9">
      <w:pPr>
        <w:rPr>
          <w:sz w:val="22"/>
          <w:szCs w:val="22"/>
        </w:rPr>
      </w:pPr>
      <w:smartTag w:uri="urn:schemas-microsoft-com:office:smarttags" w:element="place">
        <w:smartTag w:uri="urn:schemas-microsoft-com:office:smarttags" w:element="City">
          <w:r>
            <w:rPr>
              <w:sz w:val="22"/>
              <w:szCs w:val="22"/>
            </w:rPr>
            <w:t>Lake Buena Vista</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32830-1000</w:t>
          </w:r>
        </w:smartTag>
      </w:smartTag>
    </w:p>
    <w:p w:rsidR="004D23D9" w:rsidRDefault="004D23D9">
      <w:pPr>
        <w:rPr>
          <w:sz w:val="22"/>
          <w:szCs w:val="22"/>
        </w:rPr>
      </w:pPr>
    </w:p>
    <w:p w:rsidR="004D23D9" w:rsidRDefault="004D23D9">
      <w:pPr>
        <w:rPr>
          <w:sz w:val="22"/>
          <w:szCs w:val="22"/>
        </w:rPr>
      </w:pPr>
      <w:r>
        <w:rPr>
          <w:i/>
          <w:sz w:val="22"/>
          <w:szCs w:val="22"/>
        </w:rPr>
        <w:t>Authorized Representative:</w:t>
      </w:r>
    </w:p>
    <w:p w:rsidR="004D23D9" w:rsidRDefault="004D23D9">
      <w:pPr>
        <w:spacing w:after="120"/>
        <w:ind w:left="360"/>
        <w:rPr>
          <w:sz w:val="22"/>
          <w:szCs w:val="22"/>
        </w:rPr>
      </w:pPr>
      <w:r>
        <w:rPr>
          <w:sz w:val="22"/>
          <w:szCs w:val="22"/>
        </w:rPr>
        <w:t>Mr. Lee Schmudde, Authorized Representative</w:t>
      </w:r>
    </w:p>
    <w:p w:rsidR="004D23D9" w:rsidRDefault="004D23D9">
      <w:pPr>
        <w:pStyle w:val="Heading9"/>
        <w:ind w:left="0"/>
        <w:rPr>
          <w:b/>
          <w:bCs/>
          <w:szCs w:val="22"/>
          <w:u w:val="none"/>
        </w:rPr>
      </w:pPr>
      <w:r>
        <w:rPr>
          <w:b/>
          <w:bCs/>
          <w:szCs w:val="22"/>
          <w:u w:val="none"/>
        </w:rPr>
        <w:t>Processing Schedule</w:t>
      </w:r>
    </w:p>
    <w:p w:rsidR="004D23D9" w:rsidRDefault="00E11979">
      <w:pPr>
        <w:pStyle w:val="BodyText"/>
        <w:widowControl w:val="0"/>
        <w:numPr>
          <w:ilvl w:val="12"/>
          <w:numId w:val="0"/>
        </w:numPr>
        <w:ind w:left="1080" w:hanging="1080"/>
        <w:rPr>
          <w:sz w:val="22"/>
          <w:szCs w:val="22"/>
        </w:rPr>
      </w:pPr>
      <w:r>
        <w:rPr>
          <w:sz w:val="22"/>
          <w:szCs w:val="22"/>
        </w:rPr>
        <w:t>05/09/12</w:t>
      </w:r>
      <w:r w:rsidR="004D23D9">
        <w:rPr>
          <w:sz w:val="22"/>
          <w:szCs w:val="22"/>
        </w:rPr>
        <w:t>:</w:t>
      </w:r>
      <w:r w:rsidR="004D23D9">
        <w:rPr>
          <w:sz w:val="22"/>
          <w:szCs w:val="22"/>
        </w:rPr>
        <w:tab/>
        <w:t>Received application to construct.</w:t>
      </w:r>
    </w:p>
    <w:p w:rsidR="004D23D9" w:rsidRDefault="00363B00">
      <w:pPr>
        <w:pStyle w:val="BodyText"/>
        <w:widowControl w:val="0"/>
        <w:numPr>
          <w:ilvl w:val="12"/>
          <w:numId w:val="0"/>
        </w:numPr>
        <w:ind w:left="1080" w:hanging="1080"/>
        <w:rPr>
          <w:sz w:val="22"/>
          <w:szCs w:val="22"/>
        </w:rPr>
      </w:pPr>
      <w:r w:rsidRPr="0047405D">
        <w:rPr>
          <w:sz w:val="22"/>
          <w:szCs w:val="22"/>
        </w:rPr>
        <w:t>11/8</w:t>
      </w:r>
      <w:r w:rsidR="00E11979" w:rsidRPr="0047405D">
        <w:rPr>
          <w:sz w:val="22"/>
          <w:szCs w:val="22"/>
        </w:rPr>
        <w:t>/12</w:t>
      </w:r>
      <w:r w:rsidR="004D23D9" w:rsidRPr="0047405D">
        <w:rPr>
          <w:sz w:val="22"/>
          <w:szCs w:val="22"/>
        </w:rPr>
        <w:t>:</w:t>
      </w:r>
      <w:r w:rsidR="004D23D9" w:rsidRPr="0047405D">
        <w:rPr>
          <w:sz w:val="22"/>
          <w:szCs w:val="22"/>
        </w:rPr>
        <w:tab/>
        <w:t>Distributed</w:t>
      </w:r>
      <w:r w:rsidR="004D23D9">
        <w:rPr>
          <w:sz w:val="22"/>
          <w:szCs w:val="22"/>
        </w:rPr>
        <w:t xml:space="preserve"> Intent to Issue Permit.</w:t>
      </w:r>
    </w:p>
    <w:p w:rsidR="004D23D9" w:rsidRDefault="004D23D9">
      <w:pPr>
        <w:pStyle w:val="Heading9"/>
        <w:ind w:left="0"/>
        <w:rPr>
          <w:b/>
          <w:bCs/>
          <w:szCs w:val="22"/>
          <w:u w:val="none"/>
        </w:rPr>
      </w:pPr>
      <w:r>
        <w:rPr>
          <w:b/>
          <w:bCs/>
          <w:szCs w:val="22"/>
          <w:u w:val="none"/>
        </w:rPr>
        <w:t>Facility Description and Location</w:t>
      </w:r>
    </w:p>
    <w:p w:rsidR="004D23D9" w:rsidRPr="000956C6" w:rsidRDefault="004D23D9">
      <w:pPr>
        <w:rPr>
          <w:sz w:val="22"/>
          <w:szCs w:val="22"/>
        </w:rPr>
      </w:pPr>
      <w:r w:rsidRPr="000956C6">
        <w:rPr>
          <w:sz w:val="22"/>
          <w:szCs w:val="22"/>
        </w:rPr>
        <w:t>Th</w:t>
      </w:r>
      <w:r>
        <w:rPr>
          <w:sz w:val="22"/>
          <w:szCs w:val="22"/>
        </w:rPr>
        <w:t xml:space="preserve">is Walt Disney resort </w:t>
      </w:r>
      <w:r w:rsidRPr="000956C6">
        <w:rPr>
          <w:sz w:val="22"/>
          <w:szCs w:val="22"/>
        </w:rPr>
        <w:t>is a complex of hotels, theme parks and support facilities, and a utility.  The various air pollution sources are boilers, a combined cycle combustion turbine with a natural gas-fired heat recovery steam generator, paint spray booths and associated operations, external combustion oil heaters and hot water heaters.</w:t>
      </w:r>
      <w:r>
        <w:rPr>
          <w:sz w:val="22"/>
          <w:szCs w:val="22"/>
        </w:rPr>
        <w:t xml:space="preserve">  </w:t>
      </w:r>
      <w:r w:rsidRPr="000956C6">
        <w:rPr>
          <w:sz w:val="22"/>
          <w:szCs w:val="22"/>
        </w:rPr>
        <w:t xml:space="preserve">This facility is located at </w:t>
      </w:r>
      <w:smartTag w:uri="urn:schemas-microsoft-com:office:smarttags" w:element="address">
        <w:smartTag w:uri="urn:schemas-microsoft-com:office:smarttags" w:element="Street">
          <w:r w:rsidRPr="000956C6">
            <w:rPr>
              <w:sz w:val="22"/>
              <w:szCs w:val="22"/>
            </w:rPr>
            <w:t>1375 Buena Vista Drive</w:t>
          </w:r>
        </w:smartTag>
        <w:r w:rsidRPr="000956C6">
          <w:rPr>
            <w:sz w:val="22"/>
            <w:szCs w:val="22"/>
          </w:rPr>
          <w:t xml:space="preserve">, </w:t>
        </w:r>
        <w:smartTag w:uri="urn:schemas-microsoft-com:office:smarttags" w:element="City">
          <w:r w:rsidRPr="000956C6">
            <w:rPr>
              <w:sz w:val="22"/>
              <w:szCs w:val="22"/>
            </w:rPr>
            <w:t>Orange</w:t>
          </w:r>
        </w:smartTag>
      </w:smartTag>
      <w:r w:rsidRPr="000956C6">
        <w:rPr>
          <w:sz w:val="22"/>
          <w:szCs w:val="22"/>
        </w:rPr>
        <w:t xml:space="preserve"> and </w:t>
      </w:r>
      <w:smartTag w:uri="urn:schemas-microsoft-com:office:smarttags" w:element="place">
        <w:smartTag w:uri="urn:schemas-microsoft-com:office:smarttags" w:element="PlaceName">
          <w:r w:rsidRPr="000956C6">
            <w:rPr>
              <w:sz w:val="22"/>
              <w:szCs w:val="22"/>
            </w:rPr>
            <w:t>Osceola</w:t>
          </w:r>
        </w:smartTag>
        <w:r w:rsidRPr="000956C6">
          <w:rPr>
            <w:sz w:val="22"/>
            <w:szCs w:val="22"/>
          </w:rPr>
          <w:t xml:space="preserve"> </w:t>
        </w:r>
        <w:smartTag w:uri="urn:schemas-microsoft-com:office:smarttags" w:element="PlaceType">
          <w:r w:rsidRPr="000956C6">
            <w:rPr>
              <w:sz w:val="22"/>
              <w:szCs w:val="22"/>
            </w:rPr>
            <w:t>Counties</w:t>
          </w:r>
        </w:smartTag>
      </w:smartTag>
      <w:r w:rsidRPr="000956C6">
        <w:rPr>
          <w:sz w:val="22"/>
          <w:szCs w:val="22"/>
        </w:rPr>
        <w:t>; UTM Coordinates:  Zone 17, 449.70 km East and 3138.00 km North; Latitude:  28</w:t>
      </w:r>
      <w:r w:rsidRPr="000956C6">
        <w:rPr>
          <w:sz w:val="22"/>
          <w:szCs w:val="22"/>
        </w:rPr>
        <w:sym w:font="Symbol" w:char="F0B0"/>
      </w:r>
      <w:r w:rsidRPr="000956C6">
        <w:rPr>
          <w:sz w:val="22"/>
          <w:szCs w:val="22"/>
        </w:rPr>
        <w:t xml:space="preserve"> 22’ 24” North and Longitude:  81</w:t>
      </w:r>
      <w:r w:rsidRPr="000956C6">
        <w:rPr>
          <w:sz w:val="22"/>
          <w:szCs w:val="22"/>
        </w:rPr>
        <w:sym w:font="Symbol" w:char="F0B0"/>
      </w:r>
      <w:r w:rsidRPr="000956C6">
        <w:rPr>
          <w:sz w:val="22"/>
          <w:szCs w:val="22"/>
        </w:rPr>
        <w:t xml:space="preserve"> 32’ 46” West.</w:t>
      </w:r>
    </w:p>
    <w:p w:rsidR="004D23D9" w:rsidRDefault="004D23D9">
      <w:pPr>
        <w:rPr>
          <w:sz w:val="22"/>
          <w:szCs w:val="22"/>
        </w:rPr>
      </w:pPr>
    </w:p>
    <w:p w:rsidR="004D23D9" w:rsidRDefault="004D23D9">
      <w:pPr>
        <w:spacing w:after="120"/>
        <w:jc w:val="center"/>
        <w:rPr>
          <w:b/>
          <w:sz w:val="22"/>
          <w:szCs w:val="22"/>
        </w:rPr>
      </w:pPr>
    </w:p>
    <w:p w:rsidR="004D23D9" w:rsidRDefault="00D71DB9">
      <w:pPr>
        <w:spacing w:after="120"/>
        <w:jc w:val="center"/>
        <w:rPr>
          <w:b/>
          <w:sz w:val="22"/>
          <w:szCs w:val="22"/>
        </w:rPr>
      </w:pPr>
      <w:r>
        <w:rPr>
          <w:b/>
          <w:noProof/>
          <w:sz w:val="22"/>
          <w:szCs w:val="22"/>
        </w:rPr>
        <w:drawing>
          <wp:anchor distT="0" distB="0" distL="0" distR="0" simplePos="0" relativeHeight="251657728" behindDoc="0" locked="0" layoutInCell="1" allowOverlap="0">
            <wp:simplePos x="0" y="0"/>
            <wp:positionH relativeFrom="column">
              <wp:posOffset>3360420</wp:posOffset>
            </wp:positionH>
            <wp:positionV relativeFrom="line">
              <wp:posOffset>212090</wp:posOffset>
            </wp:positionV>
            <wp:extent cx="2057400" cy="3200400"/>
            <wp:effectExtent l="19050" t="0" r="0" b="0"/>
            <wp:wrapSquare wrapText="bothSides"/>
            <wp:docPr id="6" name="Picture 6" descr="Disneyland Reso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isneyland Resort"/>
                    <pic:cNvPicPr>
                      <a:picLocks noChangeAspect="1" noChangeArrowheads="1"/>
                    </pic:cNvPicPr>
                  </pic:nvPicPr>
                  <pic:blipFill>
                    <a:blip r:embed="rId8" cstate="print"/>
                    <a:srcRect/>
                    <a:stretch>
                      <a:fillRect/>
                    </a:stretch>
                  </pic:blipFill>
                  <pic:spPr bwMode="auto">
                    <a:xfrm>
                      <a:off x="0" y="0"/>
                      <a:ext cx="2057400" cy="3200400"/>
                    </a:xfrm>
                    <a:prstGeom prst="rect">
                      <a:avLst/>
                    </a:prstGeom>
                    <a:noFill/>
                    <a:ln w="9525">
                      <a:noFill/>
                      <a:miter lim="800000"/>
                      <a:headEnd/>
                      <a:tailEnd/>
                    </a:ln>
                  </pic:spPr>
                </pic:pic>
              </a:graphicData>
            </a:graphic>
          </wp:anchor>
        </w:drawing>
      </w:r>
    </w:p>
    <w:p w:rsidR="004D23D9" w:rsidRDefault="004D23D9">
      <w:pPr>
        <w:spacing w:after="120"/>
        <w:jc w:val="center"/>
        <w:rPr>
          <w:b/>
          <w:sz w:val="22"/>
          <w:szCs w:val="22"/>
        </w:rPr>
      </w:pPr>
      <w:r>
        <w:rPr>
          <w:b/>
          <w:sz w:val="22"/>
          <w:szCs w:val="22"/>
        </w:rPr>
        <w:t xml:space="preserve">  </w:t>
      </w:r>
    </w:p>
    <w:p w:rsidR="004D23D9" w:rsidRDefault="004D23D9">
      <w:pPr>
        <w:spacing w:after="120"/>
        <w:jc w:val="center"/>
        <w:rPr>
          <w:b/>
          <w:sz w:val="22"/>
          <w:szCs w:val="22"/>
        </w:rPr>
      </w:pPr>
    </w:p>
    <w:p w:rsidR="004D23D9" w:rsidRDefault="00D71DB9">
      <w:pPr>
        <w:spacing w:after="120"/>
        <w:jc w:val="center"/>
        <w:rPr>
          <w:b/>
          <w:sz w:val="22"/>
          <w:szCs w:val="22"/>
        </w:rPr>
      </w:pPr>
      <w:r>
        <w:rPr>
          <w:rFonts w:ascii="Arial" w:hAnsi="Arial" w:cs="Arial"/>
          <w:noProof/>
          <w:color w:val="222F7B"/>
          <w:sz w:val="17"/>
          <w:szCs w:val="17"/>
        </w:rPr>
        <w:drawing>
          <wp:inline distT="0" distB="0" distL="0" distR="0">
            <wp:extent cx="2486025" cy="2400300"/>
            <wp:effectExtent l="19050" t="0" r="9525" b="0"/>
            <wp:docPr id="2" name="Picture 2" descr="Map of Walt Disney Wor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p of Walt Disney World"/>
                    <pic:cNvPicPr>
                      <a:picLocks noChangeAspect="1" noChangeArrowheads="1"/>
                    </pic:cNvPicPr>
                  </pic:nvPicPr>
                  <pic:blipFill>
                    <a:blip r:embed="rId9" cstate="print"/>
                    <a:srcRect/>
                    <a:stretch>
                      <a:fillRect/>
                    </a:stretch>
                  </pic:blipFill>
                  <pic:spPr bwMode="auto">
                    <a:xfrm>
                      <a:off x="0" y="0"/>
                      <a:ext cx="2486025" cy="2400300"/>
                    </a:xfrm>
                    <a:prstGeom prst="rect">
                      <a:avLst/>
                    </a:prstGeom>
                    <a:noFill/>
                    <a:ln w="9525">
                      <a:noFill/>
                      <a:miter lim="800000"/>
                      <a:headEnd/>
                      <a:tailEnd/>
                    </a:ln>
                  </pic:spPr>
                </pic:pic>
              </a:graphicData>
            </a:graphic>
          </wp:inline>
        </w:drawing>
      </w:r>
    </w:p>
    <w:p w:rsidR="004D23D9" w:rsidRDefault="004D23D9">
      <w:pPr>
        <w:spacing w:after="120"/>
        <w:jc w:val="center"/>
        <w:rPr>
          <w:b/>
          <w:sz w:val="22"/>
          <w:szCs w:val="22"/>
        </w:rPr>
      </w:pPr>
    </w:p>
    <w:p w:rsidR="004D23D9" w:rsidRDefault="004D23D9">
      <w:pPr>
        <w:spacing w:after="120"/>
        <w:jc w:val="center"/>
        <w:rPr>
          <w:b/>
          <w:sz w:val="22"/>
          <w:szCs w:val="22"/>
        </w:rPr>
      </w:pPr>
    </w:p>
    <w:p w:rsidR="004D23D9" w:rsidRPr="00EA0833" w:rsidRDefault="004D23D9" w:rsidP="00EA0833">
      <w:pPr>
        <w:spacing w:after="120"/>
        <w:jc w:val="center"/>
        <w:rPr>
          <w:b/>
          <w:sz w:val="22"/>
          <w:szCs w:val="22"/>
        </w:rPr>
      </w:pPr>
      <w:r>
        <w:rPr>
          <w:b/>
          <w:sz w:val="22"/>
          <w:szCs w:val="22"/>
        </w:rPr>
        <w:t>Figure 1.  Map of Site Location and Photograph from the Walt Disney Resort Complex.</w:t>
      </w:r>
    </w:p>
    <w:p w:rsidR="004D23D9" w:rsidRDefault="00EA0833">
      <w:pPr>
        <w:pStyle w:val="Heading9"/>
        <w:ind w:left="0"/>
        <w:rPr>
          <w:b/>
          <w:bCs/>
          <w:szCs w:val="22"/>
          <w:u w:val="none"/>
        </w:rPr>
      </w:pPr>
      <w:r>
        <w:rPr>
          <w:b/>
          <w:bCs/>
          <w:szCs w:val="22"/>
          <w:u w:val="none"/>
        </w:rPr>
        <w:br w:type="page"/>
      </w:r>
      <w:r w:rsidR="004D23D9">
        <w:rPr>
          <w:b/>
          <w:bCs/>
          <w:szCs w:val="22"/>
          <w:u w:val="none"/>
        </w:rPr>
        <w:lastRenderedPageBreak/>
        <w:t>Major Regulatory Categories</w:t>
      </w:r>
    </w:p>
    <w:p w:rsidR="004D23D9" w:rsidRDefault="004D23D9">
      <w:pPr>
        <w:widowControl w:val="0"/>
        <w:spacing w:after="120"/>
        <w:rPr>
          <w:iCs/>
          <w:sz w:val="22"/>
          <w:szCs w:val="22"/>
        </w:rPr>
      </w:pPr>
      <w:r>
        <w:rPr>
          <w:iCs/>
          <w:sz w:val="22"/>
          <w:szCs w:val="22"/>
        </w:rPr>
        <w:t>The key regulatory provisions applicable to the facility are:</w:t>
      </w:r>
    </w:p>
    <w:p w:rsidR="004D23D9" w:rsidRDefault="004D23D9">
      <w:pPr>
        <w:widowControl w:val="0"/>
        <w:spacing w:after="120"/>
        <w:rPr>
          <w:sz w:val="22"/>
          <w:szCs w:val="22"/>
        </w:rPr>
      </w:pPr>
      <w:r>
        <w:rPr>
          <w:i/>
          <w:iCs/>
          <w:sz w:val="22"/>
          <w:szCs w:val="22"/>
        </w:rPr>
        <w:t>Title I, Part C, Clean Air Act (CAA)</w:t>
      </w:r>
      <w:r>
        <w:rPr>
          <w:sz w:val="22"/>
          <w:szCs w:val="22"/>
        </w:rPr>
        <w:t xml:space="preserve">:  The facility is located in an area that is designated as “attainment”, “maintenance”, or “unclassifiable” for each pollutant subject to a National Ambient Air Quality Standard (NAAQS).  Potential emissions of at least one regulated pollutant exceed 100 tons per </w:t>
      </w:r>
      <w:r w:rsidR="00363B00">
        <w:rPr>
          <w:sz w:val="22"/>
          <w:szCs w:val="22"/>
        </w:rPr>
        <w:t>year;</w:t>
      </w:r>
      <w:r>
        <w:rPr>
          <w:sz w:val="22"/>
          <w:szCs w:val="22"/>
        </w:rPr>
        <w:t xml:space="preserve"> therefore the facility is classified as a “major stationary source” of air pollution with respect to Rule 62-212.400, Florida Administrative Code (F.A.C.), Prevention of Significant Deterioration of Air Quality.</w:t>
      </w:r>
    </w:p>
    <w:p w:rsidR="004D23D9" w:rsidRDefault="004D23D9">
      <w:pPr>
        <w:pStyle w:val="BodyText2"/>
        <w:jc w:val="left"/>
      </w:pPr>
      <w:r>
        <w:rPr>
          <w:i/>
          <w:iCs/>
        </w:rPr>
        <w:t xml:space="preserve">Title I, Section 111, CAA:  </w:t>
      </w:r>
      <w:r>
        <w:t xml:space="preserve">The </w:t>
      </w:r>
      <w:r w:rsidRPr="000956C6">
        <w:rPr>
          <w:szCs w:val="22"/>
        </w:rPr>
        <w:t>combined cycle combustion turbine with a natural gas-fired heat recovery steam generator</w:t>
      </w:r>
      <w:r>
        <w:t xml:space="preserve"> is regulated under NSPS - 40 CFR 60, Subpart GG, Standards of Performance for Stationary Gas Turbines, and Subpart Db, Standards of Performance for Industrial-Commercial-Institutional Steam Generating Units</w:t>
      </w:r>
      <w:r>
        <w:rPr>
          <w:b/>
        </w:rPr>
        <w:t xml:space="preserve">, </w:t>
      </w:r>
      <w:r>
        <w:t>adopted and incorporated by reference in Rules 62-204.800(7)(b)38. &amp; 62-204.800(7)(b)3., F.A.C., respectively; PSD-FL-014/014(A)/123, Prevention of Significant Deterioration (PSD), in Rule 62-212.400, F.A.C.</w:t>
      </w:r>
    </w:p>
    <w:p w:rsidR="004D23D9" w:rsidRDefault="004D23D9">
      <w:pPr>
        <w:pStyle w:val="BodyText2"/>
        <w:jc w:val="left"/>
      </w:pPr>
      <w:r>
        <w:rPr>
          <w:i/>
          <w:iCs/>
        </w:rPr>
        <w:t>Title I, Section 112, CAA</w:t>
      </w:r>
      <w:r>
        <w:t xml:space="preserve">:  The facility is a “Major Source” of hazardous air pollutants (HAPs).  The new dry cleaning machine is regulated under NESHAP – 40 CFR 63, Subpart M, National Perchloroethylene Air Emission Standards for Dry Cleaning Facilities.  </w:t>
      </w:r>
    </w:p>
    <w:p w:rsidR="004D23D9" w:rsidRDefault="004D23D9">
      <w:pPr>
        <w:spacing w:after="120"/>
        <w:rPr>
          <w:sz w:val="22"/>
          <w:szCs w:val="22"/>
        </w:rPr>
      </w:pPr>
      <w:r>
        <w:rPr>
          <w:i/>
          <w:iCs/>
          <w:sz w:val="22"/>
          <w:szCs w:val="22"/>
        </w:rPr>
        <w:t>Title V, CAA</w:t>
      </w:r>
      <w:r>
        <w:rPr>
          <w:sz w:val="22"/>
          <w:szCs w:val="22"/>
        </w:rPr>
        <w:t>:  The facility is a Title V or “Major Source of Air Pollution” in accordance with Chapter 62-213, F.A.C., because the potential emissions of at least one regulated pollutant exceed 100 tons per year.  Regulated pollutants include pollutants such as carbon monoxide (CO), nitrogen oxides (NO</w:t>
      </w:r>
      <w:r>
        <w:rPr>
          <w:sz w:val="22"/>
          <w:szCs w:val="22"/>
          <w:vertAlign w:val="subscript"/>
        </w:rPr>
        <w:t>X</w:t>
      </w:r>
      <w:r>
        <w:rPr>
          <w:sz w:val="22"/>
          <w:szCs w:val="22"/>
        </w:rPr>
        <w:t>), particulate matter (PM/PM</w:t>
      </w:r>
      <w:r>
        <w:rPr>
          <w:sz w:val="22"/>
          <w:szCs w:val="22"/>
          <w:vertAlign w:val="subscript"/>
        </w:rPr>
        <w:t>10</w:t>
      </w:r>
      <w:r>
        <w:rPr>
          <w:sz w:val="22"/>
          <w:szCs w:val="22"/>
        </w:rPr>
        <w:t>), sulfur dioxide (SO</w:t>
      </w:r>
      <w:r>
        <w:rPr>
          <w:sz w:val="22"/>
          <w:szCs w:val="22"/>
          <w:vertAlign w:val="subscript"/>
        </w:rPr>
        <w:t>2</w:t>
      </w:r>
      <w:r>
        <w:rPr>
          <w:sz w:val="22"/>
          <w:szCs w:val="22"/>
        </w:rPr>
        <w:t xml:space="preserve">), and volatile organic compounds (VOC).  The facility’s current Title V Air Operation Permit is </w:t>
      </w:r>
      <w:r w:rsidR="00377CAB" w:rsidRPr="00377CAB">
        <w:rPr>
          <w:sz w:val="22"/>
          <w:szCs w:val="22"/>
        </w:rPr>
        <w:t>0950111-029</w:t>
      </w:r>
      <w:r w:rsidRPr="00377CAB">
        <w:rPr>
          <w:sz w:val="22"/>
          <w:szCs w:val="22"/>
        </w:rPr>
        <w:t>-AV.</w:t>
      </w:r>
      <w:r>
        <w:rPr>
          <w:sz w:val="22"/>
          <w:szCs w:val="22"/>
        </w:rPr>
        <w:t xml:space="preserve"> </w:t>
      </w:r>
    </w:p>
    <w:p w:rsidR="004D23D9" w:rsidRDefault="004D23D9">
      <w:pPr>
        <w:spacing w:after="120"/>
        <w:rPr>
          <w:sz w:val="22"/>
          <w:szCs w:val="22"/>
        </w:rPr>
      </w:pPr>
      <w:r>
        <w:rPr>
          <w:i/>
          <w:sz w:val="22"/>
          <w:szCs w:val="22"/>
        </w:rPr>
        <w:t xml:space="preserve">CAIR:  </w:t>
      </w:r>
      <w:r>
        <w:rPr>
          <w:sz w:val="22"/>
          <w:szCs w:val="22"/>
        </w:rPr>
        <w:t xml:space="preserve">The facility is subject to the Federal Clean Air Interstate Rule (CAIR) in accordance with the Final Department Rules issued pursuant to CAIR as implemented by FDEP in Rule 62-296.470, Florida Administrative Code (FAC).  </w:t>
      </w:r>
    </w:p>
    <w:p w:rsidR="004D23D9" w:rsidRDefault="004D23D9">
      <w:pPr>
        <w:pStyle w:val="Heading9"/>
        <w:ind w:left="0"/>
        <w:rPr>
          <w:b/>
          <w:bCs/>
          <w:szCs w:val="22"/>
          <w:u w:val="none"/>
        </w:rPr>
      </w:pPr>
      <w:r>
        <w:rPr>
          <w:b/>
          <w:bCs/>
          <w:szCs w:val="22"/>
          <w:u w:val="none"/>
        </w:rPr>
        <w:t>Proposed Project</w:t>
      </w:r>
    </w:p>
    <w:p w:rsidR="00E11979" w:rsidRDefault="004D23D9" w:rsidP="00E11979">
      <w:pPr>
        <w:autoSpaceDE w:val="0"/>
        <w:autoSpaceDN w:val="0"/>
        <w:adjustRightInd w:val="0"/>
        <w:rPr>
          <w:sz w:val="22"/>
          <w:szCs w:val="22"/>
        </w:rPr>
      </w:pPr>
      <w:r>
        <w:rPr>
          <w:sz w:val="22"/>
          <w:szCs w:val="22"/>
        </w:rPr>
        <w:t xml:space="preserve">The </w:t>
      </w:r>
      <w:r w:rsidR="00867577">
        <w:rPr>
          <w:sz w:val="22"/>
          <w:szCs w:val="22"/>
        </w:rPr>
        <w:t xml:space="preserve">project revises conditions in the original construction permits for two large generators (such as the generator pictured below) that are located near the Disney EPCOT </w:t>
      </w:r>
      <w:r w:rsidR="007D1232">
        <w:rPr>
          <w:sz w:val="22"/>
          <w:szCs w:val="22"/>
        </w:rPr>
        <w:t xml:space="preserve">theme </w:t>
      </w:r>
      <w:r w:rsidR="00867577">
        <w:rPr>
          <w:sz w:val="22"/>
          <w:szCs w:val="22"/>
        </w:rPr>
        <w:t>park.</w:t>
      </w:r>
    </w:p>
    <w:p w:rsidR="004D23D9" w:rsidRDefault="004D23D9">
      <w:pPr>
        <w:rPr>
          <w:sz w:val="22"/>
          <w:szCs w:val="22"/>
        </w:rPr>
      </w:pPr>
    </w:p>
    <w:p w:rsidR="004D23D9" w:rsidRDefault="00D71DB9" w:rsidP="00E21E47">
      <w:pPr>
        <w:jc w:val="center"/>
        <w:rPr>
          <w:sz w:val="22"/>
          <w:szCs w:val="22"/>
        </w:rPr>
      </w:pPr>
      <w:r>
        <w:rPr>
          <w:rFonts w:ascii="Arial" w:hAnsi="Arial" w:cs="Arial"/>
          <w:noProof/>
          <w:color w:val="333333"/>
        </w:rPr>
        <w:drawing>
          <wp:inline distT="0" distB="0" distL="0" distR="0">
            <wp:extent cx="3181350" cy="2381250"/>
            <wp:effectExtent l="19050" t="0" r="0" b="0"/>
            <wp:docPr id="3" name="fancybox-img" descr="mtu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ncybox-img" descr="mtu6"/>
                    <pic:cNvPicPr>
                      <a:picLocks noChangeAspect="1" noChangeArrowheads="1"/>
                    </pic:cNvPicPr>
                  </pic:nvPicPr>
                  <pic:blipFill>
                    <a:blip r:embed="rId10" cstate="print"/>
                    <a:srcRect/>
                    <a:stretch>
                      <a:fillRect/>
                    </a:stretch>
                  </pic:blipFill>
                  <pic:spPr bwMode="auto">
                    <a:xfrm>
                      <a:off x="0" y="0"/>
                      <a:ext cx="3181350" cy="2381250"/>
                    </a:xfrm>
                    <a:prstGeom prst="rect">
                      <a:avLst/>
                    </a:prstGeom>
                    <a:noFill/>
                    <a:ln w="9525">
                      <a:noFill/>
                      <a:miter lim="800000"/>
                      <a:headEnd/>
                      <a:tailEnd/>
                    </a:ln>
                  </pic:spPr>
                </pic:pic>
              </a:graphicData>
            </a:graphic>
          </wp:inline>
        </w:drawing>
      </w:r>
    </w:p>
    <w:p w:rsidR="00867577" w:rsidRDefault="00867577" w:rsidP="00E21E47">
      <w:pPr>
        <w:jc w:val="center"/>
        <w:rPr>
          <w:sz w:val="22"/>
          <w:szCs w:val="22"/>
        </w:rPr>
      </w:pPr>
      <w:r>
        <w:rPr>
          <w:b/>
          <w:sz w:val="22"/>
          <w:szCs w:val="22"/>
        </w:rPr>
        <w:t xml:space="preserve">Figure 2.  Photograph of installation of a typical Stewart Stevenson Emergency Generator </w:t>
      </w:r>
      <w:r w:rsidR="00193D76">
        <w:rPr>
          <w:b/>
          <w:sz w:val="22"/>
          <w:szCs w:val="22"/>
        </w:rPr>
        <w:t>(</w:t>
      </w:r>
      <w:r>
        <w:rPr>
          <w:b/>
          <w:sz w:val="22"/>
          <w:szCs w:val="22"/>
        </w:rPr>
        <w:t xml:space="preserve">from </w:t>
      </w:r>
      <w:hyperlink r:id="rId11" w:history="1">
        <w:r w:rsidRPr="006F1009">
          <w:rPr>
            <w:rStyle w:val="Hyperlink"/>
            <w:b/>
            <w:sz w:val="22"/>
            <w:szCs w:val="22"/>
          </w:rPr>
          <w:t>http://www.stewartandstevenson.com/equipment/category/generators</w:t>
        </w:r>
      </w:hyperlink>
      <w:r>
        <w:rPr>
          <w:b/>
          <w:sz w:val="22"/>
          <w:szCs w:val="22"/>
        </w:rPr>
        <w:t xml:space="preserve">  </w:t>
      </w:r>
      <w:r w:rsidR="00193D76">
        <w:rPr>
          <w:b/>
          <w:sz w:val="22"/>
          <w:szCs w:val="22"/>
        </w:rPr>
        <w:t>)</w:t>
      </w:r>
    </w:p>
    <w:p w:rsidR="00193D76" w:rsidRDefault="00193D76" w:rsidP="00E11979">
      <w:pPr>
        <w:rPr>
          <w:sz w:val="22"/>
          <w:szCs w:val="22"/>
        </w:rPr>
      </w:pPr>
    </w:p>
    <w:p w:rsidR="00193D76" w:rsidRDefault="00193D76" w:rsidP="00E11979">
      <w:pPr>
        <w:rPr>
          <w:sz w:val="22"/>
          <w:szCs w:val="22"/>
        </w:rPr>
      </w:pPr>
    </w:p>
    <w:p w:rsidR="004D23D9" w:rsidRDefault="00EA0833">
      <w:pPr>
        <w:spacing w:before="120" w:after="120"/>
        <w:rPr>
          <w:b/>
          <w:caps/>
          <w:sz w:val="22"/>
          <w:szCs w:val="22"/>
        </w:rPr>
      </w:pPr>
      <w:r>
        <w:rPr>
          <w:b/>
          <w:caps/>
          <w:sz w:val="22"/>
          <w:szCs w:val="22"/>
        </w:rPr>
        <w:lastRenderedPageBreak/>
        <w:t>2</w:t>
      </w:r>
      <w:r w:rsidR="004D23D9">
        <w:rPr>
          <w:b/>
          <w:caps/>
          <w:sz w:val="22"/>
          <w:szCs w:val="22"/>
        </w:rPr>
        <w:t>.  Regulations that apply to the Project</w:t>
      </w:r>
    </w:p>
    <w:p w:rsidR="00193D76" w:rsidRPr="00193D76" w:rsidRDefault="00193D76">
      <w:pPr>
        <w:pStyle w:val="BodyText2"/>
        <w:widowControl w:val="0"/>
        <w:numPr>
          <w:ilvl w:val="0"/>
          <w:numId w:val="0"/>
        </w:numPr>
        <w:jc w:val="left"/>
        <w:rPr>
          <w:szCs w:val="22"/>
          <w:u w:val="single"/>
        </w:rPr>
      </w:pPr>
      <w:r w:rsidRPr="00193D76">
        <w:rPr>
          <w:szCs w:val="22"/>
          <w:u w:val="single"/>
        </w:rPr>
        <w:t>State Rules</w:t>
      </w:r>
    </w:p>
    <w:p w:rsidR="004D23D9" w:rsidRDefault="004D23D9" w:rsidP="00193D76">
      <w:pPr>
        <w:pStyle w:val="BodyText2"/>
        <w:widowControl w:val="0"/>
        <w:rPr>
          <w:szCs w:val="22"/>
        </w:rPr>
      </w:pPr>
      <w:r>
        <w:rPr>
          <w:szCs w:val="22"/>
        </w:rPr>
        <w:t xml:space="preserve">This project is subject to the applicable environmental laws specified in Section 403 of the Florida Statutes (F.S.).  The Florida Statutes authorize the Department of Environmental Protection to establish rules and regulations regarding air quality as part of the F.A.C.  This project is subject to the applicable rules and regulations defined in the following Chapters of the Florida Administrative Code.  These include:  62-4 (Permitting Requirements); 62-204 (Ambient Air Quality Requirements, PSD Increments, and Federal Regulations Adopted by Reference); 62-210 (Permits Required, Public Notice, Reports, Stack Height Policy, Circumvention, Excess Emissions, and Forms); 62-212 (Preconstruction Review, PSD Review and BACT); 62-213 (Title V Air Operation Permits for Major Sources of Air Pollution); 62-296 (Emission Limiting Standards); </w:t>
      </w:r>
      <w:r w:rsidR="00193D76">
        <w:rPr>
          <w:szCs w:val="22"/>
        </w:rPr>
        <w:t xml:space="preserve">62-204 ( Air Pollution Control –General Provisions) </w:t>
      </w:r>
      <w:r>
        <w:rPr>
          <w:szCs w:val="22"/>
        </w:rPr>
        <w:t>and 62-297 (Test Methods and Procedures, Continuous Monitoring Specifications, and Alternate Sampling Procedures).</w:t>
      </w:r>
      <w:r w:rsidR="00193D76" w:rsidRPr="00193D76">
        <w:rPr>
          <w:szCs w:val="22"/>
        </w:rPr>
        <w:t xml:space="preserve"> When the pair of 2.5 MW engines were installed in 1985, the project triggered PSD for NO</w:t>
      </w:r>
      <w:r w:rsidR="00193D76" w:rsidRPr="00193D76">
        <w:rPr>
          <w:szCs w:val="22"/>
          <w:vertAlign w:val="subscript"/>
        </w:rPr>
        <w:t>X</w:t>
      </w:r>
      <w:r w:rsidR="00193D76">
        <w:rPr>
          <w:szCs w:val="22"/>
        </w:rPr>
        <w:t xml:space="preserve"> and a BACT determination was done</w:t>
      </w:r>
      <w:r w:rsidR="00E80F3B">
        <w:rPr>
          <w:szCs w:val="22"/>
        </w:rPr>
        <w:t xml:space="preserve"> for this pollutant</w:t>
      </w:r>
      <w:r w:rsidR="00193D76">
        <w:rPr>
          <w:szCs w:val="22"/>
        </w:rPr>
        <w:t>.</w:t>
      </w:r>
    </w:p>
    <w:p w:rsidR="00193D76" w:rsidRPr="00193D76" w:rsidRDefault="00193D76">
      <w:pPr>
        <w:pStyle w:val="BodyText2"/>
        <w:widowControl w:val="0"/>
        <w:numPr>
          <w:ilvl w:val="0"/>
          <w:numId w:val="0"/>
        </w:numPr>
        <w:jc w:val="left"/>
        <w:rPr>
          <w:szCs w:val="22"/>
          <w:u w:val="single"/>
        </w:rPr>
      </w:pPr>
      <w:r w:rsidRPr="00193D76">
        <w:rPr>
          <w:szCs w:val="22"/>
          <w:u w:val="single"/>
        </w:rPr>
        <w:t>Federal Rules</w:t>
      </w:r>
    </w:p>
    <w:p w:rsidR="00193D76" w:rsidRPr="00193D76" w:rsidRDefault="00193D76" w:rsidP="00193D76">
      <w:pPr>
        <w:pStyle w:val="BodyText2"/>
        <w:widowControl w:val="0"/>
        <w:rPr>
          <w:szCs w:val="22"/>
        </w:rPr>
      </w:pPr>
      <w:r>
        <w:rPr>
          <w:szCs w:val="22"/>
        </w:rPr>
        <w:t xml:space="preserve">Each of the two engines </w:t>
      </w:r>
      <w:r w:rsidRPr="00193D76">
        <w:rPr>
          <w:szCs w:val="22"/>
        </w:rPr>
        <w:t xml:space="preserve">are regulated under the </w:t>
      </w:r>
      <w:r w:rsidR="007D1232">
        <w:rPr>
          <w:szCs w:val="22"/>
        </w:rPr>
        <w:t xml:space="preserve">National Emission Standards for Hazardous Air Pollutants (NESHAP) found in the </w:t>
      </w:r>
      <w:r w:rsidRPr="00193D76">
        <w:rPr>
          <w:szCs w:val="22"/>
        </w:rPr>
        <w:t xml:space="preserve">Code of Federal Regulations, Chapter 40, Part 63, Subpart ZZZZ– as existing stationary RICE.  These two diesel engines will be fit with oxidation catalysts within the next few months to meet a compliance date of May 3, 2013.  </w:t>
      </w:r>
    </w:p>
    <w:p w:rsidR="004D23D9" w:rsidRDefault="00193D76" w:rsidP="00193D76">
      <w:pPr>
        <w:spacing w:after="120"/>
        <w:ind w:left="360" w:hanging="360"/>
        <w:rPr>
          <w:b/>
          <w:caps/>
          <w:sz w:val="22"/>
          <w:szCs w:val="22"/>
        </w:rPr>
      </w:pPr>
      <w:r>
        <w:rPr>
          <w:b/>
          <w:caps/>
          <w:sz w:val="22"/>
          <w:szCs w:val="22"/>
        </w:rPr>
        <w:t>3</w:t>
      </w:r>
      <w:r w:rsidR="004D23D9">
        <w:rPr>
          <w:b/>
          <w:caps/>
          <w:sz w:val="22"/>
          <w:szCs w:val="22"/>
        </w:rPr>
        <w:t>.</w:t>
      </w:r>
      <w:r w:rsidR="004D23D9">
        <w:rPr>
          <w:b/>
          <w:caps/>
          <w:sz w:val="22"/>
          <w:szCs w:val="22"/>
        </w:rPr>
        <w:tab/>
      </w:r>
      <w:r>
        <w:rPr>
          <w:b/>
          <w:caps/>
          <w:sz w:val="22"/>
          <w:szCs w:val="22"/>
        </w:rPr>
        <w:t>Permit History and AC permit Revisions</w:t>
      </w:r>
    </w:p>
    <w:p w:rsidR="00193D76" w:rsidRPr="00E21E47" w:rsidRDefault="00193D76" w:rsidP="00193D76">
      <w:pPr>
        <w:pStyle w:val="BodyText2"/>
        <w:widowControl w:val="0"/>
        <w:rPr>
          <w:szCs w:val="22"/>
        </w:rPr>
      </w:pPr>
      <w:r>
        <w:rPr>
          <w:szCs w:val="22"/>
        </w:rPr>
        <w:t>In 1985</w:t>
      </w:r>
      <w:r w:rsidR="00CB0C50">
        <w:rPr>
          <w:szCs w:val="22"/>
        </w:rPr>
        <w:t>,</w:t>
      </w:r>
      <w:r>
        <w:rPr>
          <w:szCs w:val="22"/>
        </w:rPr>
        <w:t xml:space="preserve"> </w:t>
      </w:r>
      <w:r w:rsidR="000C6011">
        <w:rPr>
          <w:szCs w:val="22"/>
        </w:rPr>
        <w:t>t</w:t>
      </w:r>
      <w:r>
        <w:rPr>
          <w:szCs w:val="22"/>
        </w:rPr>
        <w:t xml:space="preserve">he applicant applied </w:t>
      </w:r>
      <w:r w:rsidR="000C6011">
        <w:rPr>
          <w:szCs w:val="22"/>
        </w:rPr>
        <w:t xml:space="preserve">to the state </w:t>
      </w:r>
      <w:r>
        <w:rPr>
          <w:szCs w:val="22"/>
        </w:rPr>
        <w:t xml:space="preserve">for a construction permit to install two </w:t>
      </w:r>
      <w:r w:rsidR="000C6011">
        <w:rPr>
          <w:szCs w:val="22"/>
        </w:rPr>
        <w:t xml:space="preserve">new diesel generators consisting of two diesel engines, Stewart Stevenson turbo charged, 3,600 hp and 20 cylinders </w:t>
      </w:r>
      <w:r w:rsidR="00115176">
        <w:rPr>
          <w:szCs w:val="22"/>
        </w:rPr>
        <w:t xml:space="preserve">for </w:t>
      </w:r>
      <w:r w:rsidR="000C6011">
        <w:rPr>
          <w:szCs w:val="22"/>
        </w:rPr>
        <w:t>each</w:t>
      </w:r>
      <w:r w:rsidR="00115176">
        <w:rPr>
          <w:szCs w:val="22"/>
        </w:rPr>
        <w:t xml:space="preserve"> engine</w:t>
      </w:r>
      <w:r w:rsidR="000C6011">
        <w:rPr>
          <w:szCs w:val="22"/>
        </w:rPr>
        <w:t>.  These large bore engines have a cylinder displacement of 10.6 liters per cylinder and hav</w:t>
      </w:r>
      <w:r w:rsidR="00467ED2">
        <w:rPr>
          <w:szCs w:val="22"/>
        </w:rPr>
        <w:t xml:space="preserve">e a rated fuel consumption of </w:t>
      </w:r>
      <w:r w:rsidR="00363B00">
        <w:rPr>
          <w:szCs w:val="22"/>
        </w:rPr>
        <w:t xml:space="preserve">approximately </w:t>
      </w:r>
      <w:r w:rsidR="00467ED2">
        <w:rPr>
          <w:szCs w:val="22"/>
        </w:rPr>
        <w:t>20</w:t>
      </w:r>
      <w:r w:rsidR="000C6011">
        <w:rPr>
          <w:szCs w:val="22"/>
        </w:rPr>
        <w:t xml:space="preserve">0 gal/hr at full load.  Each generator is rated at 2.5 MW.  Based on a maximum operation of 1,900 hrs/yr for each </w:t>
      </w:r>
      <w:r w:rsidR="00115176" w:rsidRPr="00E21E47">
        <w:rPr>
          <w:szCs w:val="22"/>
        </w:rPr>
        <w:t>engine/</w:t>
      </w:r>
      <w:r w:rsidR="000C6011" w:rsidRPr="00E21E47">
        <w:rPr>
          <w:szCs w:val="22"/>
        </w:rPr>
        <w:t xml:space="preserve">generator </w:t>
      </w:r>
      <w:r w:rsidR="00115176" w:rsidRPr="00E21E47">
        <w:rPr>
          <w:szCs w:val="22"/>
        </w:rPr>
        <w:t xml:space="preserve">pair </w:t>
      </w:r>
      <w:r w:rsidR="000C6011" w:rsidRPr="00E21E47">
        <w:rPr>
          <w:szCs w:val="22"/>
        </w:rPr>
        <w:t>the annual emissions of NO</w:t>
      </w:r>
      <w:r w:rsidR="000C6011" w:rsidRPr="00E21E47">
        <w:rPr>
          <w:szCs w:val="22"/>
          <w:vertAlign w:val="subscript"/>
        </w:rPr>
        <w:t>X</w:t>
      </w:r>
      <w:r w:rsidR="000C6011" w:rsidRPr="00E21E47">
        <w:rPr>
          <w:szCs w:val="22"/>
        </w:rPr>
        <w:t xml:space="preserve"> </w:t>
      </w:r>
      <w:r w:rsidR="00467ED2" w:rsidRPr="00E21E47">
        <w:rPr>
          <w:szCs w:val="22"/>
        </w:rPr>
        <w:t xml:space="preserve">for the project (both engines) </w:t>
      </w:r>
      <w:r w:rsidR="000C6011" w:rsidRPr="00E21E47">
        <w:rPr>
          <w:szCs w:val="22"/>
        </w:rPr>
        <w:t xml:space="preserve">was calculated at </w:t>
      </w:r>
      <w:r w:rsidR="00467ED2" w:rsidRPr="00E21E47">
        <w:rPr>
          <w:szCs w:val="22"/>
        </w:rPr>
        <w:t>239</w:t>
      </w:r>
      <w:r w:rsidR="00883C88" w:rsidRPr="00E21E47">
        <w:rPr>
          <w:szCs w:val="22"/>
        </w:rPr>
        <w:t xml:space="preserve"> tpy </w:t>
      </w:r>
      <w:r w:rsidR="00467ED2" w:rsidRPr="00E21E47">
        <w:rPr>
          <w:szCs w:val="22"/>
        </w:rPr>
        <w:t xml:space="preserve">(based on test results from a similar uncontrolled engine) </w:t>
      </w:r>
      <w:r w:rsidR="00883C88" w:rsidRPr="00E21E47">
        <w:rPr>
          <w:szCs w:val="22"/>
        </w:rPr>
        <w:t>which exceeded the PSD Significance level for this construction project at a major source.  Therefore</w:t>
      </w:r>
      <w:r w:rsidR="00CB0C50" w:rsidRPr="00E21E47">
        <w:rPr>
          <w:szCs w:val="22"/>
        </w:rPr>
        <w:t>,</w:t>
      </w:r>
      <w:r w:rsidR="00883C88" w:rsidRPr="00E21E47">
        <w:rPr>
          <w:szCs w:val="22"/>
        </w:rPr>
        <w:t xml:space="preserve"> a BACT analysis was done for NO</w:t>
      </w:r>
      <w:r w:rsidR="00883C88" w:rsidRPr="00E21E47">
        <w:rPr>
          <w:szCs w:val="22"/>
          <w:vertAlign w:val="subscript"/>
        </w:rPr>
        <w:t>X</w:t>
      </w:r>
      <w:r w:rsidR="00883C88" w:rsidRPr="00E21E47">
        <w:rPr>
          <w:szCs w:val="22"/>
        </w:rPr>
        <w:t xml:space="preserve">.  </w:t>
      </w:r>
      <w:r w:rsidR="00467ED2" w:rsidRPr="00E21E47">
        <w:rPr>
          <w:szCs w:val="22"/>
        </w:rPr>
        <w:t>The BACT limit was set at 126 lbs/hr of NO</w:t>
      </w:r>
      <w:r w:rsidR="00467ED2" w:rsidRPr="00E21E47">
        <w:rPr>
          <w:szCs w:val="22"/>
          <w:vertAlign w:val="subscript"/>
        </w:rPr>
        <w:t>X</w:t>
      </w:r>
      <w:r w:rsidR="00467ED2" w:rsidRPr="00E21E47">
        <w:rPr>
          <w:szCs w:val="22"/>
        </w:rPr>
        <w:t xml:space="preserve"> for each engine</w:t>
      </w:r>
      <w:r w:rsidR="001458B3" w:rsidRPr="00E21E47">
        <w:rPr>
          <w:szCs w:val="22"/>
        </w:rPr>
        <w:t xml:space="preserve">.  </w:t>
      </w:r>
      <w:r w:rsidR="00115176" w:rsidRPr="00E21E47">
        <w:rPr>
          <w:szCs w:val="22"/>
        </w:rPr>
        <w:t xml:space="preserve">This emission level was apparently based on the emission test data from similar size diesel engine testing which was submitted with the application.  </w:t>
      </w:r>
      <w:r w:rsidR="001458B3" w:rsidRPr="00E21E47">
        <w:rPr>
          <w:szCs w:val="22"/>
        </w:rPr>
        <w:t>The BACT also included a VE limit of 5% opacity altho</w:t>
      </w:r>
      <w:r w:rsidR="001838EB" w:rsidRPr="00E21E47">
        <w:rPr>
          <w:szCs w:val="22"/>
        </w:rPr>
        <w:t>ugh this limit was revised in a subsequent AC permit</w:t>
      </w:r>
      <w:r w:rsidR="00305EE8" w:rsidRPr="00E21E47">
        <w:rPr>
          <w:szCs w:val="22"/>
        </w:rPr>
        <w:t xml:space="preserve"> </w:t>
      </w:r>
      <w:r w:rsidR="00102FBE" w:rsidRPr="00E21E47">
        <w:rPr>
          <w:szCs w:val="22"/>
        </w:rPr>
        <w:t>(No. 0950111-016-AC)</w:t>
      </w:r>
      <w:r w:rsidR="001838EB" w:rsidRPr="00E21E47">
        <w:rPr>
          <w:szCs w:val="22"/>
        </w:rPr>
        <w:t xml:space="preserve"> to 20% opacity.</w:t>
      </w:r>
    </w:p>
    <w:p w:rsidR="00115176" w:rsidRDefault="00115176" w:rsidP="00193D76">
      <w:pPr>
        <w:pStyle w:val="BodyText2"/>
        <w:widowControl w:val="0"/>
        <w:rPr>
          <w:szCs w:val="22"/>
        </w:rPr>
      </w:pPr>
      <w:r w:rsidRPr="00E21E47">
        <w:rPr>
          <w:szCs w:val="22"/>
        </w:rPr>
        <w:t xml:space="preserve">In the application for a Title V </w:t>
      </w:r>
      <w:r w:rsidR="007D1232" w:rsidRPr="00E21E47">
        <w:rPr>
          <w:szCs w:val="22"/>
        </w:rPr>
        <w:t>permit renewal, the applicant</w:t>
      </w:r>
      <w:r w:rsidRPr="00E21E47">
        <w:rPr>
          <w:szCs w:val="22"/>
        </w:rPr>
        <w:t xml:space="preserve"> asked for a revision of the original construction permits for the</w:t>
      </w:r>
      <w:r w:rsidR="007D1232" w:rsidRPr="00E21E47">
        <w:rPr>
          <w:szCs w:val="22"/>
        </w:rPr>
        <w:t>se</w:t>
      </w:r>
      <w:r w:rsidRPr="00E21E47">
        <w:rPr>
          <w:szCs w:val="22"/>
        </w:rPr>
        <w:t xml:space="preserve"> two large </w:t>
      </w:r>
      <w:r w:rsidR="009017DF" w:rsidRPr="00E21E47">
        <w:rPr>
          <w:szCs w:val="22"/>
        </w:rPr>
        <w:t>diesel-powered generators</w:t>
      </w:r>
      <w:r w:rsidR="007D1232" w:rsidRPr="00E21E47">
        <w:rPr>
          <w:szCs w:val="22"/>
        </w:rPr>
        <w:t xml:space="preserve"> near the EPCOT theme park</w:t>
      </w:r>
      <w:r w:rsidR="009017DF" w:rsidRPr="00E21E47">
        <w:rPr>
          <w:szCs w:val="22"/>
        </w:rPr>
        <w:t xml:space="preserve">.  </w:t>
      </w:r>
      <w:r w:rsidR="007D1232" w:rsidRPr="00E21E47">
        <w:rPr>
          <w:szCs w:val="22"/>
        </w:rPr>
        <w:t>The applicant had indicated</w:t>
      </w:r>
      <w:r w:rsidR="005E059F" w:rsidRPr="00E21E47">
        <w:rPr>
          <w:szCs w:val="22"/>
        </w:rPr>
        <w:t xml:space="preserve"> that emissions of CO from these engines could exceed the limits in the construction permits for each engine and asked to remove the CO limit and replace it with the NESHAP requirement to reduce measured CO emissions by 70%.  Upon review of the file, </w:t>
      </w:r>
      <w:r w:rsidR="008E68B3" w:rsidRPr="00E21E47">
        <w:rPr>
          <w:szCs w:val="22"/>
        </w:rPr>
        <w:t>it was determined that limits for</w:t>
      </w:r>
      <w:r w:rsidR="005E059F" w:rsidRPr="00E21E47">
        <w:rPr>
          <w:szCs w:val="22"/>
        </w:rPr>
        <w:t xml:space="preserve"> other pollutants besides NO</w:t>
      </w:r>
      <w:r w:rsidR="005E059F" w:rsidRPr="00E21E47">
        <w:rPr>
          <w:szCs w:val="22"/>
          <w:vertAlign w:val="subscript"/>
        </w:rPr>
        <w:t>X</w:t>
      </w:r>
      <w:r w:rsidR="008E68B3" w:rsidRPr="00E21E47">
        <w:rPr>
          <w:szCs w:val="22"/>
        </w:rPr>
        <w:t xml:space="preserve"> (i.e. CO, PM, SO</w:t>
      </w:r>
      <w:r w:rsidR="008E68B3" w:rsidRPr="00E21E47">
        <w:rPr>
          <w:szCs w:val="22"/>
          <w:vertAlign w:val="subscript"/>
        </w:rPr>
        <w:t>2</w:t>
      </w:r>
      <w:r w:rsidR="008E68B3" w:rsidRPr="00E21E47">
        <w:rPr>
          <w:szCs w:val="22"/>
        </w:rPr>
        <w:t xml:space="preserve"> and VOC)</w:t>
      </w:r>
      <w:r w:rsidR="005E059F" w:rsidRPr="00E21E47">
        <w:rPr>
          <w:szCs w:val="22"/>
        </w:rPr>
        <w:t xml:space="preserve"> were apparently placed in the original construction permits based on information in the application</w:t>
      </w:r>
      <w:r w:rsidR="007D1232" w:rsidRPr="00E21E47">
        <w:rPr>
          <w:szCs w:val="22"/>
        </w:rPr>
        <w:t xml:space="preserve">.  </w:t>
      </w:r>
      <w:r w:rsidR="00C261BB" w:rsidRPr="00E21E47">
        <w:rPr>
          <w:szCs w:val="22"/>
        </w:rPr>
        <w:t>At that time, the</w:t>
      </w:r>
      <w:r w:rsidR="007D1232" w:rsidRPr="00E21E47">
        <w:rPr>
          <w:szCs w:val="22"/>
        </w:rPr>
        <w:t xml:space="preserve"> </w:t>
      </w:r>
      <w:r w:rsidR="00C261BB" w:rsidRPr="00E21E47">
        <w:rPr>
          <w:szCs w:val="22"/>
        </w:rPr>
        <w:t>emission limit</w:t>
      </w:r>
      <w:r w:rsidR="008E68B3" w:rsidRPr="00E21E47">
        <w:rPr>
          <w:szCs w:val="22"/>
        </w:rPr>
        <w:t>s</w:t>
      </w:r>
      <w:r w:rsidR="00C261BB" w:rsidRPr="00E21E47">
        <w:rPr>
          <w:szCs w:val="22"/>
        </w:rPr>
        <w:t xml:space="preserve"> for </w:t>
      </w:r>
      <w:r w:rsidR="008E68B3" w:rsidRPr="00E21E47">
        <w:rPr>
          <w:szCs w:val="22"/>
        </w:rPr>
        <w:t>these pollutants were</w:t>
      </w:r>
      <w:r w:rsidR="005E059F" w:rsidRPr="00E21E47">
        <w:rPr>
          <w:szCs w:val="22"/>
        </w:rPr>
        <w:t xml:space="preserve"> not based on a s</w:t>
      </w:r>
      <w:r w:rsidR="00DA5E68" w:rsidRPr="00E21E47">
        <w:rPr>
          <w:szCs w:val="22"/>
        </w:rPr>
        <w:t>tate or federal rule that limit</w:t>
      </w:r>
      <w:r w:rsidR="007D1232" w:rsidRPr="00E21E47">
        <w:rPr>
          <w:szCs w:val="22"/>
        </w:rPr>
        <w:t>s</w:t>
      </w:r>
      <w:r w:rsidR="00C261BB" w:rsidRPr="00E21E47">
        <w:rPr>
          <w:szCs w:val="22"/>
        </w:rPr>
        <w:t xml:space="preserve"> </w:t>
      </w:r>
      <w:r w:rsidR="00693D33" w:rsidRPr="00E21E47">
        <w:rPr>
          <w:szCs w:val="22"/>
        </w:rPr>
        <w:t xml:space="preserve">these </w:t>
      </w:r>
      <w:r w:rsidR="005E059F" w:rsidRPr="00E21E47">
        <w:rPr>
          <w:szCs w:val="22"/>
        </w:rPr>
        <w:t>pollu</w:t>
      </w:r>
      <w:r w:rsidR="00C261BB" w:rsidRPr="00E21E47">
        <w:rPr>
          <w:szCs w:val="22"/>
        </w:rPr>
        <w:t>tant</w:t>
      </w:r>
      <w:r w:rsidR="00693D33" w:rsidRPr="00E21E47">
        <w:rPr>
          <w:szCs w:val="22"/>
        </w:rPr>
        <w:t>s</w:t>
      </w:r>
      <w:r w:rsidR="00DA5E68" w:rsidRPr="00E21E47">
        <w:rPr>
          <w:szCs w:val="22"/>
        </w:rPr>
        <w:t xml:space="preserve"> from the two</w:t>
      </w:r>
      <w:r w:rsidR="005E059F" w:rsidRPr="00E21E47">
        <w:rPr>
          <w:szCs w:val="22"/>
        </w:rPr>
        <w:t xml:space="preserve"> </w:t>
      </w:r>
      <w:r w:rsidR="00DA5E68" w:rsidRPr="00E21E47">
        <w:rPr>
          <w:szCs w:val="22"/>
        </w:rPr>
        <w:t xml:space="preserve">diesel </w:t>
      </w:r>
      <w:r w:rsidR="007D1232" w:rsidRPr="00E21E47">
        <w:rPr>
          <w:szCs w:val="22"/>
        </w:rPr>
        <w:t>engines</w:t>
      </w:r>
      <w:r w:rsidR="005E059F" w:rsidRPr="00E21E47">
        <w:rPr>
          <w:szCs w:val="22"/>
        </w:rPr>
        <w:t>.</w:t>
      </w:r>
      <w:r w:rsidR="00693D33" w:rsidRPr="00E21E47">
        <w:rPr>
          <w:szCs w:val="22"/>
        </w:rPr>
        <w:t xml:space="preserve">  These pollutants al</w:t>
      </w:r>
      <w:r w:rsidR="00693D33">
        <w:rPr>
          <w:szCs w:val="22"/>
        </w:rPr>
        <w:t>so did not trigger a PSD review, so these pollutants were inappropriately limited through the original construction permit.</w:t>
      </w:r>
      <w:r w:rsidR="00DA5E68">
        <w:rPr>
          <w:szCs w:val="22"/>
        </w:rPr>
        <w:t xml:space="preserve">  The proposed revisions are to remove all but the </w:t>
      </w:r>
      <w:r w:rsidR="00DA5E68" w:rsidRPr="00DA5E68">
        <w:rPr>
          <w:szCs w:val="22"/>
        </w:rPr>
        <w:t>NO</w:t>
      </w:r>
      <w:r w:rsidR="00DA5E68" w:rsidRPr="00DA5E68">
        <w:rPr>
          <w:szCs w:val="22"/>
          <w:vertAlign w:val="subscript"/>
        </w:rPr>
        <w:t>X</w:t>
      </w:r>
      <w:r w:rsidR="00DA5E68">
        <w:rPr>
          <w:szCs w:val="22"/>
        </w:rPr>
        <w:t xml:space="preserve"> emission limits from the </w:t>
      </w:r>
      <w:r w:rsidR="00C261BB">
        <w:rPr>
          <w:szCs w:val="22"/>
        </w:rPr>
        <w:t>two c</w:t>
      </w:r>
      <w:r w:rsidR="00E80F3B">
        <w:rPr>
          <w:szCs w:val="22"/>
        </w:rPr>
        <w:t>onstruction permits which are revised in this project</w:t>
      </w:r>
      <w:r w:rsidR="00DA5E68">
        <w:rPr>
          <w:szCs w:val="22"/>
        </w:rPr>
        <w:t>.</w:t>
      </w:r>
    </w:p>
    <w:p w:rsidR="004D23D9" w:rsidRDefault="00DA5E68">
      <w:pPr>
        <w:spacing w:before="120" w:after="120"/>
        <w:rPr>
          <w:b/>
          <w:caps/>
          <w:sz w:val="22"/>
          <w:szCs w:val="22"/>
        </w:rPr>
      </w:pPr>
      <w:r>
        <w:rPr>
          <w:b/>
          <w:caps/>
          <w:sz w:val="22"/>
          <w:szCs w:val="22"/>
        </w:rPr>
        <w:t>4</w:t>
      </w:r>
      <w:r w:rsidR="004D23D9">
        <w:rPr>
          <w:b/>
          <w:caps/>
          <w:sz w:val="22"/>
          <w:szCs w:val="22"/>
        </w:rPr>
        <w:t xml:space="preserve">.  OTHER </w:t>
      </w:r>
      <w:r w:rsidR="00E80F3B">
        <w:rPr>
          <w:b/>
          <w:caps/>
          <w:sz w:val="22"/>
          <w:szCs w:val="22"/>
        </w:rPr>
        <w:t>Considerations</w:t>
      </w:r>
    </w:p>
    <w:p w:rsidR="004D23D9" w:rsidRDefault="004D23D9" w:rsidP="00DA5E68">
      <w:pPr>
        <w:pStyle w:val="BodyText2"/>
        <w:numPr>
          <w:ilvl w:val="0"/>
          <w:numId w:val="0"/>
        </w:numPr>
        <w:jc w:val="left"/>
        <w:rPr>
          <w:szCs w:val="22"/>
        </w:rPr>
      </w:pPr>
      <w:r>
        <w:rPr>
          <w:szCs w:val="22"/>
        </w:rPr>
        <w:t xml:space="preserve">The requirements already listed in the facility’s </w:t>
      </w:r>
      <w:r w:rsidRPr="00377CAB">
        <w:rPr>
          <w:szCs w:val="22"/>
        </w:rPr>
        <w:t>existing Title V Air Operation Permit No. 09501</w:t>
      </w:r>
      <w:r w:rsidR="00DA5E68" w:rsidRPr="00377CAB">
        <w:rPr>
          <w:szCs w:val="22"/>
        </w:rPr>
        <w:t>11-02</w:t>
      </w:r>
      <w:r w:rsidR="00377CAB" w:rsidRPr="00377CAB">
        <w:rPr>
          <w:szCs w:val="22"/>
        </w:rPr>
        <w:t>9</w:t>
      </w:r>
      <w:r w:rsidR="00DA5E68" w:rsidRPr="00377CAB">
        <w:rPr>
          <w:szCs w:val="22"/>
        </w:rPr>
        <w:t>-</w:t>
      </w:r>
      <w:r w:rsidR="00DA5E68">
        <w:rPr>
          <w:szCs w:val="22"/>
        </w:rPr>
        <w:t xml:space="preserve">AV are applied in the renewed Title V operating permit and </w:t>
      </w:r>
      <w:r w:rsidR="00032B0D">
        <w:rPr>
          <w:szCs w:val="22"/>
        </w:rPr>
        <w:t>will include the emission limiting standards from the</w:t>
      </w:r>
      <w:r w:rsidR="00B66675">
        <w:rPr>
          <w:szCs w:val="22"/>
        </w:rPr>
        <w:t xml:space="preserve"> RICE</w:t>
      </w:r>
      <w:r w:rsidR="00032B0D">
        <w:rPr>
          <w:szCs w:val="22"/>
        </w:rPr>
        <w:t xml:space="preserve"> NESHAP that apply to these two existing </w:t>
      </w:r>
      <w:r w:rsidR="00F23766">
        <w:rPr>
          <w:szCs w:val="22"/>
        </w:rPr>
        <w:t xml:space="preserve">non-emergency </w:t>
      </w:r>
      <w:r w:rsidR="00032B0D">
        <w:rPr>
          <w:szCs w:val="22"/>
        </w:rPr>
        <w:t xml:space="preserve">diesel engines.  The compliance date for these new controls and emission limits is May 3, 2013.  </w:t>
      </w:r>
      <w:r>
        <w:rPr>
          <w:szCs w:val="22"/>
        </w:rPr>
        <w:t xml:space="preserve">The </w:t>
      </w:r>
      <w:r w:rsidR="00DA5E68">
        <w:rPr>
          <w:szCs w:val="22"/>
        </w:rPr>
        <w:t xml:space="preserve">Title V </w:t>
      </w:r>
      <w:r>
        <w:rPr>
          <w:szCs w:val="22"/>
        </w:rPr>
        <w:t xml:space="preserve">permit will include testing and recordkeeping conditions demonstrating that the project complies with the specified emissions standards </w:t>
      </w:r>
      <w:r w:rsidR="00DA5E68">
        <w:rPr>
          <w:szCs w:val="22"/>
        </w:rPr>
        <w:t xml:space="preserve">of NESHAP – 40 CFR 63, Subpart </w:t>
      </w:r>
      <w:r w:rsidR="00DA5E68">
        <w:rPr>
          <w:szCs w:val="22"/>
        </w:rPr>
        <w:lastRenderedPageBreak/>
        <w:t>ZZZZ as they apply to each stationary RICE and to the two EPCOT generator engines in particular</w:t>
      </w:r>
      <w:r>
        <w:rPr>
          <w:szCs w:val="22"/>
        </w:rPr>
        <w:t>.</w:t>
      </w:r>
      <w:r w:rsidR="00FA3956">
        <w:rPr>
          <w:szCs w:val="22"/>
        </w:rPr>
        <w:t xml:space="preserve">  Emissions of both hazardous air pollutants and other pollutants that result from incomplete combustion of the diesel fuel, such as CO or VOCs, will be reduced by at least</w:t>
      </w:r>
      <w:r w:rsidR="00032B0D">
        <w:rPr>
          <w:szCs w:val="22"/>
        </w:rPr>
        <w:t xml:space="preserve"> 70% of the uncontrolled levels.</w:t>
      </w:r>
    </w:p>
    <w:p w:rsidR="00FA4721" w:rsidRDefault="00FA4721" w:rsidP="00FA4721">
      <w:pPr>
        <w:pStyle w:val="BodyText2"/>
        <w:rPr>
          <w:b/>
          <w:szCs w:val="22"/>
        </w:rPr>
      </w:pPr>
      <w:r>
        <w:rPr>
          <w:b/>
          <w:szCs w:val="22"/>
        </w:rPr>
        <w:t>5</w:t>
      </w:r>
      <w:r w:rsidRPr="00FA4721">
        <w:rPr>
          <w:b/>
          <w:szCs w:val="22"/>
        </w:rPr>
        <w:t xml:space="preserve">.  </w:t>
      </w:r>
      <w:r>
        <w:rPr>
          <w:b/>
          <w:szCs w:val="22"/>
        </w:rPr>
        <w:t>CONCLUSION</w:t>
      </w:r>
    </w:p>
    <w:p w:rsidR="00FA4721" w:rsidRDefault="00FA4721" w:rsidP="00DA5E68">
      <w:pPr>
        <w:pStyle w:val="BodyText2"/>
        <w:numPr>
          <w:ilvl w:val="0"/>
          <w:numId w:val="0"/>
        </w:numPr>
        <w:jc w:val="left"/>
        <w:rPr>
          <w:szCs w:val="22"/>
        </w:rPr>
      </w:pPr>
      <w:r>
        <w:rPr>
          <w:szCs w:val="22"/>
        </w:rPr>
        <w:t>This minor permit revision remove</w:t>
      </w:r>
      <w:r w:rsidR="00B66675">
        <w:rPr>
          <w:szCs w:val="22"/>
        </w:rPr>
        <w:t>s</w:t>
      </w:r>
      <w:r>
        <w:rPr>
          <w:szCs w:val="22"/>
        </w:rPr>
        <w:t xml:space="preserve"> emission limits for pollutants that never triggered PSD when the two large diesel-powered generators were installed.  These engines supply electrical power to the EPCOT theme park in the eve</w:t>
      </w:r>
      <w:r w:rsidRPr="00E21E47">
        <w:rPr>
          <w:szCs w:val="22"/>
        </w:rPr>
        <w:t xml:space="preserve">nt grid power is lost or as a backup power source.  The affected pollutants in these two original construction permits, CO, VOC, </w:t>
      </w:r>
      <w:r w:rsidR="00C341FD" w:rsidRPr="00E21E47">
        <w:rPr>
          <w:szCs w:val="22"/>
        </w:rPr>
        <w:t>particulate matter and SO</w:t>
      </w:r>
      <w:r w:rsidR="00C341FD" w:rsidRPr="00E21E47">
        <w:rPr>
          <w:szCs w:val="22"/>
          <w:vertAlign w:val="subscript"/>
        </w:rPr>
        <w:t>2</w:t>
      </w:r>
      <w:r w:rsidR="00C341FD" w:rsidRPr="00E21E47">
        <w:rPr>
          <w:szCs w:val="22"/>
        </w:rPr>
        <w:t>,</w:t>
      </w:r>
      <w:r w:rsidRPr="00E21E47">
        <w:rPr>
          <w:szCs w:val="22"/>
        </w:rPr>
        <w:t xml:space="preserve"> were based on test results of a similar engine, and the permits had never req</w:t>
      </w:r>
      <w:r w:rsidR="00363B00">
        <w:rPr>
          <w:szCs w:val="22"/>
        </w:rPr>
        <w:t>uired testing of these pollutants</w:t>
      </w:r>
      <w:r w:rsidRPr="00E21E47">
        <w:rPr>
          <w:szCs w:val="22"/>
        </w:rPr>
        <w:t xml:space="preserve">.  </w:t>
      </w:r>
      <w:r w:rsidR="00363B00">
        <w:rPr>
          <w:szCs w:val="22"/>
        </w:rPr>
        <w:t>The permit</w:t>
      </w:r>
      <w:r w:rsidR="00C341FD" w:rsidRPr="00E21E47">
        <w:rPr>
          <w:szCs w:val="22"/>
        </w:rPr>
        <w:t xml:space="preserve"> limit</w:t>
      </w:r>
      <w:r w:rsidR="00363B00">
        <w:rPr>
          <w:szCs w:val="22"/>
        </w:rPr>
        <w:t>s</w:t>
      </w:r>
      <w:r w:rsidR="00C341FD" w:rsidRPr="00E21E47">
        <w:rPr>
          <w:szCs w:val="22"/>
        </w:rPr>
        <w:t xml:space="preserve"> diesel sulfur content to 0.5% so the emissions of SO</w:t>
      </w:r>
      <w:r w:rsidR="00C341FD" w:rsidRPr="00E21E47">
        <w:rPr>
          <w:szCs w:val="22"/>
          <w:vertAlign w:val="subscript"/>
        </w:rPr>
        <w:t xml:space="preserve">2 </w:t>
      </w:r>
      <w:r w:rsidR="00C341FD" w:rsidRPr="00E21E47">
        <w:rPr>
          <w:szCs w:val="22"/>
        </w:rPr>
        <w:t>are limited by this fuel parameter.  In prac</w:t>
      </w:r>
      <w:r w:rsidR="00363B00">
        <w:rPr>
          <w:szCs w:val="22"/>
        </w:rPr>
        <w:t xml:space="preserve">tice, these engines will </w:t>
      </w:r>
      <w:r w:rsidR="00C341FD" w:rsidRPr="00E21E47">
        <w:rPr>
          <w:szCs w:val="22"/>
        </w:rPr>
        <w:t>be fueled by ultra low sulfur diesel (0.0015% Sulfur) since this is the fuel used in other engines onsite</w:t>
      </w:r>
      <w:r w:rsidR="00363B00">
        <w:rPr>
          <w:szCs w:val="22"/>
        </w:rPr>
        <w:t xml:space="preserve"> and is required by 40 CFR 63 Subpart ZZZZ</w:t>
      </w:r>
      <w:r w:rsidR="00C341FD" w:rsidRPr="00E21E47">
        <w:rPr>
          <w:szCs w:val="22"/>
        </w:rPr>
        <w:t xml:space="preserve">.  </w:t>
      </w:r>
      <w:r w:rsidRPr="00E21E47">
        <w:rPr>
          <w:szCs w:val="22"/>
        </w:rPr>
        <w:t>Becau</w:t>
      </w:r>
      <w:r>
        <w:rPr>
          <w:szCs w:val="22"/>
        </w:rPr>
        <w:t xml:space="preserve">se these two engines are regulated under the NESHAP for RICE, these engines will </w:t>
      </w:r>
      <w:r w:rsidR="00C341FD">
        <w:rPr>
          <w:szCs w:val="22"/>
        </w:rPr>
        <w:t xml:space="preserve">each </w:t>
      </w:r>
      <w:r>
        <w:rPr>
          <w:szCs w:val="22"/>
        </w:rPr>
        <w:t>be fit with diesel oxidation catalyst and have to demonstrate through testing that</w:t>
      </w:r>
      <w:r w:rsidR="00B66675">
        <w:rPr>
          <w:szCs w:val="22"/>
        </w:rPr>
        <w:t xml:space="preserve"> CO </w:t>
      </w:r>
      <w:r>
        <w:rPr>
          <w:szCs w:val="22"/>
        </w:rPr>
        <w:t>emissions are reduced 70% or more across the control device.  That means that emissions from these existing engines will be reduced and this minor permit revision will not result in any emissions increases.</w:t>
      </w:r>
    </w:p>
    <w:sectPr w:rsidR="00FA4721" w:rsidSect="00102FBE">
      <w:headerReference w:type="even" r:id="rId12"/>
      <w:headerReference w:type="default" r:id="rId13"/>
      <w:footerReference w:type="default" r:id="rId14"/>
      <w:headerReference w:type="first" r:id="rId15"/>
      <w:footerReference w:type="first" r:id="rId16"/>
      <w:pgSz w:w="12240" w:h="15840" w:code="1"/>
      <w:pgMar w:top="1152" w:right="1080" w:bottom="1440" w:left="108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3D33" w:rsidRDefault="00693D33">
      <w:r>
        <w:separator/>
      </w:r>
    </w:p>
  </w:endnote>
  <w:endnote w:type="continuationSeparator" w:id="0">
    <w:p w:rsidR="00693D33" w:rsidRDefault="00693D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D33" w:rsidRPr="00954975" w:rsidRDefault="00693D33" w:rsidP="00102FBE">
    <w:pPr>
      <w:pBdr>
        <w:top w:val="single" w:sz="6" w:space="1" w:color="auto"/>
      </w:pBdr>
      <w:tabs>
        <w:tab w:val="right" w:pos="10080"/>
      </w:tabs>
      <w:spacing w:before="240"/>
      <w:rPr>
        <w:rStyle w:val="PageNumber"/>
      </w:rPr>
    </w:pPr>
    <w:r>
      <w:rPr>
        <w:rStyle w:val="PageNumber"/>
      </w:rPr>
      <w:t>Walt Disney Parks and Resorts U.S., Inc.</w:t>
    </w:r>
    <w:r w:rsidRPr="00954975">
      <w:rPr>
        <w:rStyle w:val="PageNumber"/>
        <w:color w:val="FF0000"/>
      </w:rPr>
      <w:tab/>
    </w:r>
    <w:r>
      <w:rPr>
        <w:rStyle w:val="PageNumber"/>
      </w:rPr>
      <w:t>DEP File No. 0950111-033</w:t>
    </w:r>
    <w:r w:rsidRPr="00954975">
      <w:rPr>
        <w:rStyle w:val="PageNumber"/>
      </w:rPr>
      <w:t>-AC</w:t>
    </w:r>
  </w:p>
  <w:p w:rsidR="00693D33" w:rsidRPr="00954975" w:rsidRDefault="00693D33" w:rsidP="00102FBE">
    <w:pPr>
      <w:pBdr>
        <w:top w:val="single" w:sz="6" w:space="1" w:color="auto"/>
      </w:pBdr>
      <w:tabs>
        <w:tab w:val="right" w:pos="10080"/>
      </w:tabs>
      <w:rPr>
        <w:rStyle w:val="PageNumber"/>
      </w:rPr>
    </w:pPr>
    <w:r>
      <w:rPr>
        <w:rStyle w:val="PageNumber"/>
      </w:rPr>
      <w:t>Walt Disney World Resort Complex</w:t>
    </w:r>
    <w:r>
      <w:rPr>
        <w:rStyle w:val="PageNumber"/>
      </w:rPr>
      <w:tab/>
      <w:t>Minor Revision to EPCOT Engines Construction Permits</w:t>
    </w:r>
  </w:p>
  <w:p w:rsidR="00693D33" w:rsidRDefault="00693D33">
    <w:pPr>
      <w:pStyle w:val="Footer"/>
      <w:tabs>
        <w:tab w:val="clear" w:pos="4320"/>
        <w:tab w:val="clear" w:pos="8640"/>
      </w:tabs>
      <w:jc w:val="center"/>
    </w:pPr>
    <w:r>
      <w:rPr>
        <w:rStyle w:val="PageNumber"/>
      </w:rPr>
      <w:t xml:space="preserve">Page </w:t>
    </w:r>
    <w:r w:rsidR="003D372A">
      <w:rPr>
        <w:rStyle w:val="PageNumber"/>
      </w:rPr>
      <w:fldChar w:fldCharType="begin"/>
    </w:r>
    <w:r>
      <w:rPr>
        <w:rStyle w:val="PageNumber"/>
      </w:rPr>
      <w:instrText xml:space="preserve"> PAGE </w:instrText>
    </w:r>
    <w:r w:rsidR="003D372A">
      <w:rPr>
        <w:rStyle w:val="PageNumber"/>
      </w:rPr>
      <w:fldChar w:fldCharType="separate"/>
    </w:r>
    <w:r w:rsidR="0047405D">
      <w:rPr>
        <w:rStyle w:val="PageNumber"/>
        <w:noProof/>
      </w:rPr>
      <w:t>5</w:t>
    </w:r>
    <w:r w:rsidR="003D372A">
      <w:rPr>
        <w:rStyle w:val="PageNumber"/>
      </w:rPr>
      <w:fldChar w:fldCharType="end"/>
    </w:r>
    <w:r>
      <w:rPr>
        <w:rStyle w:val="PageNumber"/>
      </w:rPr>
      <w:t xml:space="preserve"> of </w:t>
    </w:r>
    <w:r w:rsidR="003D372A">
      <w:rPr>
        <w:rStyle w:val="PageNumber"/>
      </w:rPr>
      <w:fldChar w:fldCharType="begin"/>
    </w:r>
    <w:r>
      <w:rPr>
        <w:rStyle w:val="PageNumber"/>
      </w:rPr>
      <w:instrText xml:space="preserve"> NUMPAGES </w:instrText>
    </w:r>
    <w:r w:rsidR="003D372A">
      <w:rPr>
        <w:rStyle w:val="PageNumber"/>
      </w:rPr>
      <w:fldChar w:fldCharType="separate"/>
    </w:r>
    <w:r w:rsidR="0047405D">
      <w:rPr>
        <w:rStyle w:val="PageNumber"/>
        <w:noProof/>
      </w:rPr>
      <w:t>5</w:t>
    </w:r>
    <w:r w:rsidR="003D372A">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D33" w:rsidRDefault="00693D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3D33" w:rsidRDefault="00693D33">
      <w:r>
        <w:separator/>
      </w:r>
    </w:p>
  </w:footnote>
  <w:footnote w:type="continuationSeparator" w:id="0">
    <w:p w:rsidR="00693D33" w:rsidRDefault="00693D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D33" w:rsidRDefault="00693D3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D33" w:rsidRPr="002A047A" w:rsidRDefault="00693D33">
    <w:pPr>
      <w:pStyle w:val="Header"/>
      <w:pBdr>
        <w:bottom w:val="single" w:sz="6" w:space="1" w:color="auto"/>
      </w:pBdr>
      <w:spacing w:after="240"/>
      <w:jc w:val="center"/>
      <w:rPr>
        <w:b/>
        <w:caps/>
        <w:sz w:val="28"/>
        <w:szCs w:val="28"/>
        <w:u w:val="single"/>
      </w:rPr>
    </w:pPr>
    <w:r w:rsidRPr="002A047A">
      <w:rPr>
        <w:b/>
        <w:caps/>
        <w:sz w:val="28"/>
        <w:szCs w:val="28"/>
      </w:rPr>
      <w:t>TECHNICAL EVALUATION and PRELIMINARY DETERMINATION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D33" w:rsidRDefault="00693D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582277B4"/>
    <w:lvl w:ilvl="0">
      <w:start w:val="1"/>
      <w:numFmt w:val="lowerLetter"/>
      <w:pStyle w:val="ListNumber2"/>
      <w:lvlText w:val="%1."/>
      <w:lvlJc w:val="left"/>
      <w:pPr>
        <w:tabs>
          <w:tab w:val="num" w:pos="1800"/>
        </w:tabs>
        <w:ind w:left="1800" w:hanging="360"/>
      </w:pPr>
      <w:rPr>
        <w:rFonts w:ascii="Times New Roman" w:hAnsi="Times New Roman" w:hint="default"/>
        <w:b w:val="0"/>
        <w:i/>
        <w:caps w:val="0"/>
        <w:sz w:val="22"/>
        <w:szCs w:val="22"/>
      </w:rPr>
    </w:lvl>
  </w:abstractNum>
  <w:abstractNum w:abstractNumId="1">
    <w:nsid w:val="FFFFFF88"/>
    <w:multiLevelType w:val="singleLevel"/>
    <w:tmpl w:val="B19AFA1A"/>
    <w:lvl w:ilvl="0">
      <w:start w:val="1"/>
      <w:numFmt w:val="decimal"/>
      <w:pStyle w:val="ListNumber"/>
      <w:lvlText w:val="%1."/>
      <w:lvlJc w:val="left"/>
      <w:pPr>
        <w:tabs>
          <w:tab w:val="num" w:pos="7380"/>
        </w:tabs>
        <w:ind w:left="7380" w:hanging="360"/>
      </w:pPr>
      <w:rPr>
        <w:rFonts w:ascii="Times New Roman" w:hAnsi="Times New Roman" w:hint="default"/>
        <w:b w:val="0"/>
        <w:i/>
        <w:sz w:val="22"/>
        <w:szCs w:val="22"/>
      </w:rPr>
    </w:lvl>
  </w:abstractNum>
  <w:abstractNum w:abstractNumId="2">
    <w:nsid w:val="FFFFFF89"/>
    <w:multiLevelType w:val="singleLevel"/>
    <w:tmpl w:val="9C90B168"/>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lvlText w:val="*"/>
      <w:lvlJc w:val="left"/>
      <w:pPr>
        <w:ind w:left="0" w:firstLine="0"/>
      </w:pPr>
    </w:lvl>
  </w:abstractNum>
  <w:abstractNum w:abstractNumId="4">
    <w:nsid w:val="00933D90"/>
    <w:multiLevelType w:val="hybridMultilevel"/>
    <w:tmpl w:val="DCA65FCA"/>
    <w:lvl w:ilvl="0" w:tplc="E886E684">
      <w:start w:val="1"/>
      <w:numFmt w:val="lowerLetter"/>
      <w:lvlText w:val="%1."/>
      <w:lvlJc w:val="left"/>
      <w:pPr>
        <w:tabs>
          <w:tab w:val="num" w:pos="720"/>
        </w:tabs>
        <w:ind w:left="720" w:hanging="360"/>
      </w:pPr>
      <w:rPr>
        <w:rFonts w:hint="default"/>
      </w:rPr>
    </w:lvl>
    <w:lvl w:ilvl="1" w:tplc="A8A201F4">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8106D94"/>
    <w:multiLevelType w:val="hybridMultilevel"/>
    <w:tmpl w:val="4836CA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C612B5"/>
    <w:multiLevelType w:val="hybridMultilevel"/>
    <w:tmpl w:val="A75ABFF8"/>
    <w:lvl w:ilvl="0" w:tplc="04090001">
      <w:start w:val="1"/>
      <w:numFmt w:val="bullet"/>
      <w:lvlText w:val=""/>
      <w:lvlJc w:val="left"/>
      <w:pPr>
        <w:tabs>
          <w:tab w:val="num" w:pos="2700"/>
        </w:tabs>
        <w:ind w:left="2700" w:hanging="360"/>
      </w:pPr>
      <w:rPr>
        <w:rFonts w:ascii="Symbol" w:hAnsi="Symbol" w:hint="default"/>
      </w:rPr>
    </w:lvl>
    <w:lvl w:ilvl="1" w:tplc="04090003" w:tentative="1">
      <w:start w:val="1"/>
      <w:numFmt w:val="bullet"/>
      <w:lvlText w:val="o"/>
      <w:lvlJc w:val="left"/>
      <w:pPr>
        <w:tabs>
          <w:tab w:val="num" w:pos="3420"/>
        </w:tabs>
        <w:ind w:left="3420" w:hanging="360"/>
      </w:pPr>
      <w:rPr>
        <w:rFonts w:ascii="Courier New" w:hAnsi="Courier New" w:cs="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cs="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cs="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7">
    <w:nsid w:val="0B6B2C81"/>
    <w:multiLevelType w:val="hybridMultilevel"/>
    <w:tmpl w:val="6AE2D8B0"/>
    <w:lvl w:ilvl="0" w:tplc="A17CBCDA">
      <w:start w:val="247"/>
      <w:numFmt w:val="decimal"/>
      <w:lvlText w:val="(%1)"/>
      <w:lvlJc w:val="left"/>
      <w:pPr>
        <w:tabs>
          <w:tab w:val="num" w:pos="2340"/>
        </w:tabs>
        <w:ind w:left="2340" w:hanging="360"/>
      </w:pPr>
      <w:rPr>
        <w:rFonts w:hint="default"/>
        <w:color w:val="000000"/>
      </w:rPr>
    </w:lvl>
    <w:lvl w:ilvl="1" w:tplc="5AD65966">
      <w:start w:val="1"/>
      <w:numFmt w:val="lowerLetter"/>
      <w:lvlText w:val="(%2)"/>
      <w:lvlJc w:val="left"/>
      <w:pPr>
        <w:tabs>
          <w:tab w:val="num" w:pos="1440"/>
        </w:tabs>
        <w:ind w:left="1440" w:hanging="360"/>
      </w:pPr>
      <w:rPr>
        <w:rFonts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0FF4650"/>
    <w:multiLevelType w:val="hybridMultilevel"/>
    <w:tmpl w:val="785E30D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nsid w:val="110645F5"/>
    <w:multiLevelType w:val="hybridMultilevel"/>
    <w:tmpl w:val="31E8FA18"/>
    <w:lvl w:ilvl="0" w:tplc="41FE25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78D23AB"/>
    <w:multiLevelType w:val="hybridMultilevel"/>
    <w:tmpl w:val="22CEC53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7F6B31"/>
    <w:multiLevelType w:val="hybridMultilevel"/>
    <w:tmpl w:val="1FC07BAC"/>
    <w:lvl w:ilvl="0" w:tplc="82849EA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27E00616"/>
    <w:multiLevelType w:val="hybridMultilevel"/>
    <w:tmpl w:val="9A52CBE2"/>
    <w:lvl w:ilvl="0" w:tplc="F3849D0E">
      <w:start w:val="1"/>
      <w:numFmt w:val="lowerLetter"/>
      <w:lvlText w:val="(%1)"/>
      <w:lvlJc w:val="left"/>
      <w:pPr>
        <w:tabs>
          <w:tab w:val="num" w:pos="720"/>
        </w:tabs>
        <w:ind w:left="720" w:hanging="360"/>
      </w:pPr>
      <w:rPr>
        <w:rFonts w:hint="default"/>
      </w:rPr>
    </w:lvl>
    <w:lvl w:ilvl="1" w:tplc="9B86CC70">
      <w:start w:val="1"/>
      <w:numFmt w:val="decimal"/>
      <w:lvlText w:val="%2."/>
      <w:lvlJc w:val="left"/>
      <w:pPr>
        <w:tabs>
          <w:tab w:val="num" w:pos="1440"/>
        </w:tabs>
        <w:ind w:left="1440" w:hanging="360"/>
      </w:pPr>
      <w:rPr>
        <w:rFonts w:hint="default"/>
        <w:color w:val="000000"/>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8C41D29"/>
    <w:multiLevelType w:val="hybridMultilevel"/>
    <w:tmpl w:val="EA4E45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3144EE4"/>
    <w:multiLevelType w:val="hybridMultilevel"/>
    <w:tmpl w:val="8690B412"/>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4AF5801"/>
    <w:multiLevelType w:val="hybridMultilevel"/>
    <w:tmpl w:val="613230DE"/>
    <w:lvl w:ilvl="0" w:tplc="B9741A3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53D222E"/>
    <w:multiLevelType w:val="hybridMultilevel"/>
    <w:tmpl w:val="0F42AD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52384E"/>
    <w:multiLevelType w:val="hybridMultilevel"/>
    <w:tmpl w:val="A196A18A"/>
    <w:lvl w:ilvl="0" w:tplc="8F7CFB4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457753E"/>
    <w:multiLevelType w:val="hybridMultilevel"/>
    <w:tmpl w:val="51BC161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0A726A"/>
    <w:multiLevelType w:val="hybridMultilevel"/>
    <w:tmpl w:val="347A9C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D02025B"/>
    <w:multiLevelType w:val="hybridMultilevel"/>
    <w:tmpl w:val="32707C9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EC1160A"/>
    <w:multiLevelType w:val="hybridMultilevel"/>
    <w:tmpl w:val="78F828EE"/>
    <w:lvl w:ilvl="0" w:tplc="A8A201F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FA240C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4F802BC"/>
    <w:multiLevelType w:val="singleLevel"/>
    <w:tmpl w:val="FDAC5272"/>
    <w:lvl w:ilvl="0">
      <w:start w:val="1"/>
      <w:numFmt w:val="decimal"/>
      <w:lvlText w:val="%1."/>
      <w:lvlJc w:val="left"/>
      <w:pPr>
        <w:tabs>
          <w:tab w:val="num" w:pos="360"/>
        </w:tabs>
        <w:ind w:left="360" w:hanging="360"/>
      </w:pPr>
    </w:lvl>
  </w:abstractNum>
  <w:abstractNum w:abstractNumId="24">
    <w:nsid w:val="5B627ED9"/>
    <w:multiLevelType w:val="hybridMultilevel"/>
    <w:tmpl w:val="5032DDAE"/>
    <w:lvl w:ilvl="0" w:tplc="A8A201F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5">
    <w:nsid w:val="5F97771F"/>
    <w:multiLevelType w:val="hybridMultilevel"/>
    <w:tmpl w:val="40428C00"/>
    <w:lvl w:ilvl="0" w:tplc="A18E712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88E6857"/>
    <w:multiLevelType w:val="hybridMultilevel"/>
    <w:tmpl w:val="2DB6234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D1626DE"/>
    <w:multiLevelType w:val="hybridMultilevel"/>
    <w:tmpl w:val="9856B47E"/>
    <w:lvl w:ilvl="0" w:tplc="6C8CCEBC">
      <w:start w:val="203"/>
      <w:numFmt w:val="decimal"/>
      <w:lvlText w:val="(%1)"/>
      <w:lvlJc w:val="left"/>
      <w:pPr>
        <w:tabs>
          <w:tab w:val="num" w:pos="720"/>
        </w:tabs>
        <w:ind w:left="720" w:hanging="360"/>
      </w:pPr>
      <w:rPr>
        <w:rFonts w:hint="default"/>
        <w:color w:val="000000"/>
      </w:rPr>
    </w:lvl>
    <w:lvl w:ilvl="1" w:tplc="04090001">
      <w:start w:val="1"/>
      <w:numFmt w:val="bullet"/>
      <w:lvlText w:val=""/>
      <w:lvlJc w:val="left"/>
      <w:pPr>
        <w:tabs>
          <w:tab w:val="num" w:pos="1440"/>
        </w:tabs>
        <w:ind w:left="1440" w:hanging="360"/>
      </w:pPr>
      <w:rPr>
        <w:rFonts w:ascii="Symbol" w:hAnsi="Symbol" w:hint="default"/>
        <w:color w:val="000000"/>
      </w:rPr>
    </w:lvl>
    <w:lvl w:ilvl="2" w:tplc="4A04E166">
      <w:start w:val="1"/>
      <w:numFmt w:val="lowerLetter"/>
      <w:lvlText w:val="(%3)"/>
      <w:lvlJc w:val="left"/>
      <w:pPr>
        <w:tabs>
          <w:tab w:val="num" w:pos="2340"/>
        </w:tabs>
        <w:ind w:left="2340" w:hanging="360"/>
      </w:pPr>
      <w:rPr>
        <w:rFonts w:hint="default"/>
        <w:color w:val="000000"/>
      </w:rPr>
    </w:lvl>
    <w:lvl w:ilvl="3" w:tplc="3282FA24">
      <w:start w:val="1"/>
      <w:numFmt w:val="decimal"/>
      <w:lvlText w:val="%4."/>
      <w:lvlJc w:val="left"/>
      <w:pPr>
        <w:tabs>
          <w:tab w:val="num" w:pos="2880"/>
        </w:tabs>
        <w:ind w:left="2880" w:hanging="360"/>
      </w:pPr>
      <w:rPr>
        <w:rFonts w:hint="default"/>
        <w:color w:val="00000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E7550D1"/>
    <w:multiLevelType w:val="hybridMultilevel"/>
    <w:tmpl w:val="2FA89C6E"/>
    <w:lvl w:ilvl="0" w:tplc="0C4E4DD6">
      <w:start w:val="1"/>
      <w:numFmt w:val="bullet"/>
      <w:lvlText w:val=""/>
      <w:lvlJc w:val="left"/>
      <w:pPr>
        <w:tabs>
          <w:tab w:val="num" w:pos="504"/>
        </w:tabs>
        <w:ind w:left="504" w:hanging="50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706528"/>
    <w:multiLevelType w:val="hybridMultilevel"/>
    <w:tmpl w:val="01D82E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AB55A7"/>
    <w:multiLevelType w:val="hybridMultilevel"/>
    <w:tmpl w:val="2F96E4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1"/>
  </w:num>
  <w:num w:numId="3">
    <w:abstractNumId w:val="24"/>
  </w:num>
  <w:num w:numId="4">
    <w:abstractNumId w:val="4"/>
  </w:num>
  <w:num w:numId="5">
    <w:abstractNumId w:val="14"/>
  </w:num>
  <w:num w:numId="6">
    <w:abstractNumId w:val="28"/>
  </w:num>
  <w:num w:numId="7">
    <w:abstractNumId w:val="2"/>
  </w:num>
  <w:num w:numId="8">
    <w:abstractNumId w:val="22"/>
  </w:num>
  <w:num w:numId="9">
    <w:abstractNumId w:val="1"/>
  </w:num>
  <w:num w:numId="10">
    <w:abstractNumId w:val="0"/>
  </w:num>
  <w:num w:numId="11">
    <w:abstractNumId w:val="11"/>
  </w:num>
  <w:num w:numId="12">
    <w:abstractNumId w:val="26"/>
  </w:num>
  <w:num w:numId="13">
    <w:abstractNumId w:val="29"/>
  </w:num>
  <w:num w:numId="14">
    <w:abstractNumId w:val="3"/>
    <w:lvlOverride w:ilvl="0">
      <w:lvl w:ilvl="0">
        <w:numFmt w:val="bullet"/>
        <w:lvlText w:val=""/>
        <w:legacy w:legacy="1" w:legacySpace="0" w:legacyIndent="360"/>
        <w:lvlJc w:val="left"/>
        <w:pPr>
          <w:ind w:left="900" w:hanging="360"/>
        </w:pPr>
        <w:rPr>
          <w:rFonts w:ascii="Symbol" w:hAnsi="Symbol" w:hint="default"/>
        </w:rPr>
      </w:lvl>
    </w:lvlOverride>
  </w:num>
  <w:num w:numId="15">
    <w:abstractNumId w:val="19"/>
  </w:num>
  <w:num w:numId="16">
    <w:abstractNumId w:val="1"/>
  </w:num>
  <w:num w:numId="17">
    <w:abstractNumId w:val="10"/>
  </w:num>
  <w:num w:numId="18">
    <w:abstractNumId w:val="8"/>
  </w:num>
  <w:num w:numId="19">
    <w:abstractNumId w:val="1"/>
  </w:num>
  <w:num w:numId="20">
    <w:abstractNumId w:val="1"/>
  </w:num>
  <w:num w:numId="21">
    <w:abstractNumId w:val="1"/>
  </w:num>
  <w:num w:numId="22">
    <w:abstractNumId w:val="1"/>
  </w:num>
  <w:num w:numId="23">
    <w:abstractNumId w:val="30"/>
  </w:num>
  <w:num w:numId="24">
    <w:abstractNumId w:val="27"/>
  </w:num>
  <w:num w:numId="25">
    <w:abstractNumId w:val="7"/>
  </w:num>
  <w:num w:numId="26">
    <w:abstractNumId w:val="17"/>
  </w:num>
  <w:num w:numId="27">
    <w:abstractNumId w:val="9"/>
  </w:num>
  <w:num w:numId="28">
    <w:abstractNumId w:val="12"/>
  </w:num>
  <w:num w:numId="29">
    <w:abstractNumId w:val="15"/>
  </w:num>
  <w:num w:numId="30">
    <w:abstractNumId w:val="25"/>
  </w:num>
  <w:num w:numId="31">
    <w:abstractNumId w:val="5"/>
  </w:num>
  <w:num w:numId="32">
    <w:abstractNumId w:val="6"/>
  </w:num>
  <w:num w:numId="33">
    <w:abstractNumId w:val="16"/>
  </w:num>
  <w:num w:numId="34">
    <w:abstractNumId w:val="20"/>
  </w:num>
  <w:num w:numId="35">
    <w:abstractNumId w:val="13"/>
  </w:num>
  <w:num w:numId="36">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noPunctuationKerning/>
  <w:characterSpacingControl w:val="doNotCompress"/>
  <w:hdrShapeDefaults>
    <o:shapedefaults v:ext="edit" spidmax="9217"/>
  </w:hdrShapeDefaults>
  <w:footnotePr>
    <w:footnote w:id="-1"/>
    <w:footnote w:id="0"/>
  </w:footnotePr>
  <w:endnotePr>
    <w:endnote w:id="-1"/>
    <w:endnote w:id="0"/>
  </w:endnotePr>
  <w:compat/>
  <w:rsids>
    <w:rsidRoot w:val="00E11979"/>
    <w:rsid w:val="00032B0D"/>
    <w:rsid w:val="000C6011"/>
    <w:rsid w:val="00102FBE"/>
    <w:rsid w:val="00115176"/>
    <w:rsid w:val="001458B3"/>
    <w:rsid w:val="001838EB"/>
    <w:rsid w:val="00193D76"/>
    <w:rsid w:val="00305EE8"/>
    <w:rsid w:val="00363B00"/>
    <w:rsid w:val="00364D05"/>
    <w:rsid w:val="00377CAB"/>
    <w:rsid w:val="003D372A"/>
    <w:rsid w:val="00467ED2"/>
    <w:rsid w:val="0047405D"/>
    <w:rsid w:val="004D23D9"/>
    <w:rsid w:val="005E059F"/>
    <w:rsid w:val="00693D33"/>
    <w:rsid w:val="007D1232"/>
    <w:rsid w:val="00867577"/>
    <w:rsid w:val="00883C88"/>
    <w:rsid w:val="008E68B3"/>
    <w:rsid w:val="009017DF"/>
    <w:rsid w:val="00A83E36"/>
    <w:rsid w:val="00B36D66"/>
    <w:rsid w:val="00B66675"/>
    <w:rsid w:val="00C261BB"/>
    <w:rsid w:val="00C341FD"/>
    <w:rsid w:val="00CB0C50"/>
    <w:rsid w:val="00D71DB9"/>
    <w:rsid w:val="00DA5E68"/>
    <w:rsid w:val="00E11979"/>
    <w:rsid w:val="00E21E47"/>
    <w:rsid w:val="00E80F3B"/>
    <w:rsid w:val="00EA0833"/>
    <w:rsid w:val="00F23766"/>
    <w:rsid w:val="00FA3956"/>
    <w:rsid w:val="00FA47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ity"/>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64D05"/>
  </w:style>
  <w:style w:type="paragraph" w:styleId="Heading1">
    <w:name w:val="heading 1"/>
    <w:basedOn w:val="Normal"/>
    <w:next w:val="Normal"/>
    <w:qFormat/>
    <w:rsid w:val="00364D05"/>
    <w:pPr>
      <w:keepNext/>
      <w:spacing w:after="120"/>
      <w:ind w:left="634"/>
      <w:outlineLvl w:val="0"/>
    </w:pPr>
    <w:rPr>
      <w:sz w:val="28"/>
    </w:rPr>
  </w:style>
  <w:style w:type="paragraph" w:styleId="Heading2">
    <w:name w:val="heading 2"/>
    <w:basedOn w:val="Normal"/>
    <w:next w:val="Normal"/>
    <w:qFormat/>
    <w:rsid w:val="00364D0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364D05"/>
    <w:pPr>
      <w:keepNext/>
      <w:jc w:val="center"/>
      <w:outlineLvl w:val="2"/>
    </w:pPr>
    <w:rPr>
      <w:sz w:val="28"/>
    </w:rPr>
  </w:style>
  <w:style w:type="paragraph" w:styleId="Heading4">
    <w:name w:val="heading 4"/>
    <w:basedOn w:val="Normal"/>
    <w:next w:val="Normal"/>
    <w:qFormat/>
    <w:rsid w:val="00364D05"/>
    <w:pPr>
      <w:keepNext/>
      <w:jc w:val="center"/>
      <w:outlineLvl w:val="3"/>
    </w:pPr>
    <w:rPr>
      <w:b/>
      <w:sz w:val="22"/>
    </w:rPr>
  </w:style>
  <w:style w:type="paragraph" w:styleId="Heading5">
    <w:name w:val="heading 5"/>
    <w:basedOn w:val="Normal"/>
    <w:next w:val="Normal"/>
    <w:qFormat/>
    <w:rsid w:val="00364D05"/>
    <w:pPr>
      <w:spacing w:before="240" w:after="60"/>
      <w:outlineLvl w:val="4"/>
    </w:pPr>
    <w:rPr>
      <w:b/>
      <w:bCs/>
      <w:i/>
      <w:iCs/>
      <w:sz w:val="26"/>
      <w:szCs w:val="26"/>
    </w:rPr>
  </w:style>
  <w:style w:type="paragraph" w:styleId="Heading7">
    <w:name w:val="heading 7"/>
    <w:basedOn w:val="Normal"/>
    <w:next w:val="Normal"/>
    <w:qFormat/>
    <w:rsid w:val="00364D05"/>
    <w:pPr>
      <w:spacing w:before="240" w:after="60"/>
      <w:outlineLvl w:val="6"/>
    </w:pPr>
    <w:rPr>
      <w:sz w:val="24"/>
      <w:szCs w:val="24"/>
    </w:rPr>
  </w:style>
  <w:style w:type="paragraph" w:styleId="Heading8">
    <w:name w:val="heading 8"/>
    <w:basedOn w:val="Normal"/>
    <w:next w:val="Normal"/>
    <w:qFormat/>
    <w:rsid w:val="00364D05"/>
    <w:pPr>
      <w:keepNext/>
      <w:spacing w:after="120"/>
      <w:outlineLvl w:val="7"/>
    </w:pPr>
    <w:rPr>
      <w:b/>
      <w:caps/>
      <w:sz w:val="22"/>
    </w:rPr>
  </w:style>
  <w:style w:type="paragraph" w:styleId="Heading9">
    <w:name w:val="heading 9"/>
    <w:basedOn w:val="Normal"/>
    <w:next w:val="Normal"/>
    <w:qFormat/>
    <w:rsid w:val="00364D05"/>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64D05"/>
    <w:pPr>
      <w:tabs>
        <w:tab w:val="center" w:pos="4320"/>
        <w:tab w:val="right" w:pos="8640"/>
      </w:tabs>
    </w:pPr>
  </w:style>
  <w:style w:type="character" w:styleId="PageNumber">
    <w:name w:val="page number"/>
    <w:basedOn w:val="DefaultParagraphFont"/>
    <w:rsid w:val="00364D05"/>
  </w:style>
  <w:style w:type="paragraph" w:styleId="Footer">
    <w:name w:val="footer"/>
    <w:basedOn w:val="Normal"/>
    <w:rsid w:val="00364D05"/>
    <w:pPr>
      <w:tabs>
        <w:tab w:val="center" w:pos="4320"/>
        <w:tab w:val="right" w:pos="8640"/>
      </w:tabs>
    </w:pPr>
  </w:style>
  <w:style w:type="paragraph" w:styleId="BodyText2">
    <w:name w:val="Body Text 2"/>
    <w:basedOn w:val="Normal"/>
    <w:rsid w:val="00364D05"/>
    <w:pPr>
      <w:numPr>
        <w:ilvl w:val="12"/>
      </w:numPr>
      <w:spacing w:after="120"/>
      <w:jc w:val="both"/>
    </w:pPr>
    <w:rPr>
      <w:sz w:val="22"/>
    </w:rPr>
  </w:style>
  <w:style w:type="paragraph" w:styleId="BodyText">
    <w:name w:val="Body Text"/>
    <w:aliases w:val="SCA Body Text,SCA Body Text1,SCA Body Text2,SCA Body Text11,BodyText-JEA,BT-JEA"/>
    <w:basedOn w:val="Normal"/>
    <w:rsid w:val="00364D05"/>
    <w:pPr>
      <w:spacing w:after="120"/>
    </w:pPr>
    <w:rPr>
      <w:sz w:val="24"/>
    </w:rPr>
  </w:style>
  <w:style w:type="paragraph" w:styleId="BodyText3">
    <w:name w:val="Body Text 3"/>
    <w:basedOn w:val="Normal"/>
    <w:rsid w:val="00364D05"/>
    <w:pPr>
      <w:spacing w:before="120" w:after="120"/>
    </w:pPr>
    <w:rPr>
      <w:sz w:val="22"/>
    </w:rPr>
  </w:style>
  <w:style w:type="paragraph" w:styleId="BodyTextIndent3">
    <w:name w:val="Body Text Indent 3"/>
    <w:basedOn w:val="Normal"/>
    <w:rsid w:val="00364D05"/>
    <w:pPr>
      <w:spacing w:after="120"/>
      <w:ind w:left="360"/>
    </w:pPr>
    <w:rPr>
      <w:sz w:val="16"/>
      <w:szCs w:val="16"/>
    </w:rPr>
  </w:style>
  <w:style w:type="paragraph" w:styleId="FootnoteText">
    <w:name w:val="footnote text"/>
    <w:basedOn w:val="Normal"/>
    <w:semiHidden/>
    <w:rsid w:val="00364D05"/>
  </w:style>
  <w:style w:type="character" w:styleId="FootnoteReference">
    <w:name w:val="footnote reference"/>
    <w:basedOn w:val="DefaultParagraphFont"/>
    <w:semiHidden/>
    <w:rsid w:val="00364D05"/>
    <w:rPr>
      <w:vertAlign w:val="superscript"/>
    </w:rPr>
  </w:style>
  <w:style w:type="paragraph" w:styleId="BalloonText">
    <w:name w:val="Balloon Text"/>
    <w:basedOn w:val="Normal"/>
    <w:semiHidden/>
    <w:rsid w:val="00364D05"/>
    <w:rPr>
      <w:rFonts w:ascii="Tahoma" w:hAnsi="Tahoma" w:cs="Tahoma"/>
      <w:sz w:val="16"/>
      <w:szCs w:val="16"/>
    </w:rPr>
  </w:style>
  <w:style w:type="paragraph" w:customStyle="1" w:styleId="ReportText">
    <w:name w:val="Report Text"/>
    <w:rsid w:val="00364D05"/>
    <w:pPr>
      <w:spacing w:after="240" w:line="360" w:lineRule="auto"/>
      <w:jc w:val="both"/>
    </w:pPr>
    <w:rPr>
      <w:sz w:val="22"/>
    </w:rPr>
  </w:style>
  <w:style w:type="table" w:styleId="TableGrid">
    <w:name w:val="Table Grid"/>
    <w:basedOn w:val="TableNormal"/>
    <w:rsid w:val="00364D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
    <w:name w:val="List Bullet"/>
    <w:basedOn w:val="Normal"/>
    <w:autoRedefine/>
    <w:rsid w:val="00364D05"/>
    <w:pPr>
      <w:numPr>
        <w:numId w:val="7"/>
      </w:numPr>
      <w:tabs>
        <w:tab w:val="left" w:pos="900"/>
      </w:tabs>
      <w:spacing w:line="360" w:lineRule="auto"/>
      <w:ind w:left="1080" w:right="720"/>
      <w:jc w:val="both"/>
    </w:pPr>
    <w:rPr>
      <w:sz w:val="22"/>
    </w:rPr>
  </w:style>
  <w:style w:type="numbering" w:styleId="111111">
    <w:name w:val="Outline List 2"/>
    <w:basedOn w:val="NoList"/>
    <w:semiHidden/>
    <w:rsid w:val="00364D05"/>
    <w:pPr>
      <w:numPr>
        <w:numId w:val="8"/>
      </w:numPr>
    </w:pPr>
  </w:style>
  <w:style w:type="paragraph" w:styleId="ListNumber2">
    <w:name w:val="List Number 2"/>
    <w:basedOn w:val="Normal"/>
    <w:rsid w:val="00364D05"/>
    <w:pPr>
      <w:numPr>
        <w:numId w:val="10"/>
      </w:numPr>
      <w:spacing w:after="120"/>
      <w:ind w:right="720"/>
      <w:jc w:val="both"/>
    </w:pPr>
    <w:rPr>
      <w:sz w:val="22"/>
    </w:rPr>
  </w:style>
  <w:style w:type="paragraph" w:styleId="ListNumber">
    <w:name w:val="List Number"/>
    <w:basedOn w:val="Normal"/>
    <w:rsid w:val="00364D05"/>
    <w:pPr>
      <w:numPr>
        <w:numId w:val="9"/>
      </w:numPr>
      <w:spacing w:line="360" w:lineRule="auto"/>
      <w:jc w:val="both"/>
    </w:pPr>
    <w:rPr>
      <w:sz w:val="22"/>
    </w:rPr>
  </w:style>
  <w:style w:type="paragraph" w:styleId="BodyTextIndent">
    <w:name w:val="Body Text Indent"/>
    <w:basedOn w:val="Normal"/>
    <w:rsid w:val="00364D05"/>
    <w:pPr>
      <w:spacing w:after="120"/>
      <w:ind w:left="360"/>
    </w:pPr>
  </w:style>
  <w:style w:type="paragraph" w:customStyle="1" w:styleId="font6">
    <w:name w:val="font6"/>
    <w:basedOn w:val="Normal"/>
    <w:rsid w:val="00364D05"/>
    <w:pPr>
      <w:spacing w:before="100" w:beforeAutospacing="1" w:after="100" w:afterAutospacing="1"/>
    </w:pPr>
    <w:rPr>
      <w:rFonts w:eastAsia="Arial Unicode MS"/>
      <w:sz w:val="22"/>
      <w:szCs w:val="22"/>
    </w:rPr>
  </w:style>
  <w:style w:type="paragraph" w:customStyle="1" w:styleId="Default">
    <w:name w:val="Default"/>
    <w:rsid w:val="00364D05"/>
    <w:pPr>
      <w:autoSpaceDE w:val="0"/>
      <w:autoSpaceDN w:val="0"/>
      <w:adjustRightInd w:val="0"/>
    </w:pPr>
    <w:rPr>
      <w:color w:val="000000"/>
      <w:sz w:val="24"/>
      <w:szCs w:val="24"/>
    </w:rPr>
  </w:style>
  <w:style w:type="character" w:styleId="Hyperlink">
    <w:name w:val="Hyperlink"/>
    <w:basedOn w:val="DefaultParagraphFont"/>
    <w:rsid w:val="00364D05"/>
    <w:rPr>
      <w:color w:val="0000FF"/>
      <w:u w:val="single"/>
    </w:rPr>
  </w:style>
  <w:style w:type="paragraph" w:styleId="NormalWeb">
    <w:name w:val="Normal (Web)"/>
    <w:basedOn w:val="Normal"/>
    <w:rsid w:val="00364D05"/>
    <w:pPr>
      <w:spacing w:before="100" w:beforeAutospacing="1" w:after="100" w:afterAutospacing="1"/>
    </w:pPr>
    <w:rPr>
      <w:color w:val="000080"/>
      <w:sz w:val="24"/>
      <w:szCs w:val="24"/>
    </w:rPr>
  </w:style>
  <w:style w:type="character" w:styleId="EndnoteReference">
    <w:name w:val="endnote reference"/>
    <w:basedOn w:val="DefaultParagraphFont"/>
    <w:semiHidden/>
    <w:rsid w:val="00364D05"/>
    <w:rPr>
      <w:vertAlign w:val="superscript"/>
    </w:rPr>
  </w:style>
  <w:style w:type="paragraph" w:styleId="EndnoteText">
    <w:name w:val="endnote text"/>
    <w:basedOn w:val="Normal"/>
    <w:semiHidden/>
    <w:rsid w:val="00364D05"/>
  </w:style>
</w:styles>
</file>

<file path=word/webSettings.xml><?xml version="1.0" encoding="utf-8"?>
<w:webSettings xmlns:r="http://schemas.openxmlformats.org/officeDocument/2006/relationships" xmlns:w="http://schemas.openxmlformats.org/wordprocessingml/2006/main">
  <w:divs>
    <w:div w:id="382489010">
      <w:bodyDiv w:val="1"/>
      <w:marLeft w:val="0"/>
      <w:marRight w:val="0"/>
      <w:marTop w:val="0"/>
      <w:marBottom w:val="0"/>
      <w:divBdr>
        <w:top w:val="none" w:sz="0" w:space="0" w:color="auto"/>
        <w:left w:val="none" w:sz="0" w:space="0" w:color="auto"/>
        <w:bottom w:val="none" w:sz="0" w:space="0" w:color="auto"/>
        <w:right w:val="none" w:sz="0" w:space="0" w:color="auto"/>
      </w:divBdr>
    </w:div>
    <w:div w:id="829949877">
      <w:bodyDiv w:val="1"/>
      <w:marLeft w:val="0"/>
      <w:marRight w:val="0"/>
      <w:marTop w:val="0"/>
      <w:marBottom w:val="0"/>
      <w:divBdr>
        <w:top w:val="none" w:sz="0" w:space="0" w:color="auto"/>
        <w:left w:val="none" w:sz="0" w:space="0" w:color="auto"/>
        <w:bottom w:val="none" w:sz="0" w:space="0" w:color="auto"/>
        <w:right w:val="none" w:sz="0" w:space="0" w:color="auto"/>
      </w:divBdr>
    </w:div>
    <w:div w:id="1728458026">
      <w:bodyDiv w:val="1"/>
      <w:marLeft w:val="0"/>
      <w:marRight w:val="0"/>
      <w:marTop w:val="0"/>
      <w:marBottom w:val="0"/>
      <w:divBdr>
        <w:top w:val="none" w:sz="0" w:space="0" w:color="auto"/>
        <w:left w:val="none" w:sz="0" w:space="0" w:color="auto"/>
        <w:bottom w:val="none" w:sz="0" w:space="0" w:color="auto"/>
        <w:right w:val="none" w:sz="0" w:space="0" w:color="auto"/>
      </w:divBdr>
      <w:divsChild>
        <w:div w:id="1388600899">
          <w:marLeft w:val="0"/>
          <w:marRight w:val="0"/>
          <w:marTop w:val="0"/>
          <w:marBottom w:val="0"/>
          <w:divBdr>
            <w:top w:val="single" w:sz="4" w:space="0" w:color="C0C0C0"/>
            <w:left w:val="single" w:sz="4" w:space="0" w:color="C0C0C0"/>
            <w:bottom w:val="single" w:sz="4" w:space="0" w:color="C0C0C0"/>
            <w:right w:val="single" w:sz="4" w:space="0" w:color="C0C0C0"/>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ewartandstevenson.com/equipment/category/generators" TargetMode="Externa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5</Pages>
  <Words>1484</Words>
  <Characters>8432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TECHNICAL EVALUATION</vt:lpstr>
    </vt:vector>
  </TitlesOfParts>
  <Company>FDEP-DARM</Company>
  <LinksUpToDate>false</LinksUpToDate>
  <CharactersWithSpaces>9897</CharactersWithSpaces>
  <SharedDoc>false</SharedDoc>
  <HLinks>
    <vt:vector size="6" baseType="variant">
      <vt:variant>
        <vt:i4>458770</vt:i4>
      </vt:variant>
      <vt:variant>
        <vt:i4>6</vt:i4>
      </vt:variant>
      <vt:variant>
        <vt:i4>0</vt:i4>
      </vt:variant>
      <vt:variant>
        <vt:i4>5</vt:i4>
      </vt:variant>
      <vt:variant>
        <vt:lpwstr>http://www.stewartandstevenson.com/equipment/category/generators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
  <dc:creator>Bull_R</dc:creator>
  <cp:keywords/>
  <dc:description/>
  <cp:lastModifiedBy>costello_m</cp:lastModifiedBy>
  <cp:revision>7</cp:revision>
  <cp:lastPrinted>2007-06-07T13:24:00Z</cp:lastPrinted>
  <dcterms:created xsi:type="dcterms:W3CDTF">2012-10-23T14:59:00Z</dcterms:created>
  <dcterms:modified xsi:type="dcterms:W3CDTF">2012-11-07T16:17:00Z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1350310037</vt:i4>
  </property>
  <property fmtid="{D5CDD505-2E9C-101B-9397-08002B2CF9AE}" pid="3" name="_NewReviewCycle">
    <vt:lpwstr/>
  </property>
  <property fmtid="{D5CDD505-2E9C-101B-9397-08002B2CF9AE}" pid="4" name="_EmailSubject">
    <vt:lpwstr>Emailing: 0950111-032-AV Appendices draft.docx, 0950111-032-AV Draft Proposed Permit.docx, 0950111-032 Draft AC &amp; AV Written Notice - signed.pdf, 0950111-032 Draft AC &amp; AV Written Notice.docx, 0950111-032-AC &amp; AV Public Notice.docm, 0950111-032-AC SOB.doc</vt:lpwstr>
  </property>
  <property fmtid="{D5CDD505-2E9C-101B-9397-08002B2CF9AE}" pid="5" name="_AuthorEmail">
    <vt:lpwstr>Jonathan.Holtom@dep.state.fl.us</vt:lpwstr>
  </property>
  <property fmtid="{D5CDD505-2E9C-101B-9397-08002B2CF9AE}" pid="6" name="_AuthorEmailDisplayName">
    <vt:lpwstr>Holtom, Jonathan</vt:lpwstr>
  </property>
</Properties>
</file>